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6241" w14:textId="4051F797" w:rsidR="005C0CA9" w:rsidRPr="005F67D9" w:rsidRDefault="00B86B64" w:rsidP="00B86B64">
      <w:pPr>
        <w:pStyle w:val="Title"/>
        <w:rPr>
          <w:rFonts w:ascii="PermianSerifTypeface" w:hAnsi="PermianSerifTypeface"/>
          <w:bCs/>
          <w:szCs w:val="24"/>
          <w:lang w:val="en-GB"/>
        </w:rPr>
      </w:pPr>
      <w:r w:rsidRPr="005F67D9">
        <w:rPr>
          <w:rFonts w:ascii="PermianSerifTypeface" w:hAnsi="PermianSerifTypeface"/>
          <w:bCs/>
          <w:szCs w:val="24"/>
          <w:lang w:val="en-GB"/>
        </w:rPr>
        <w:t xml:space="preserve">Regulation on the conditions for granting, suspending and withdrawing the </w:t>
      </w:r>
      <w:r w:rsidR="00FB4B6D" w:rsidRPr="005F67D9">
        <w:rPr>
          <w:rFonts w:ascii="PermianSerifTypeface" w:hAnsi="PermianSerifTypeface"/>
          <w:bCs/>
          <w:szCs w:val="24"/>
          <w:lang w:val="en-GB"/>
        </w:rPr>
        <w:t>rights</w:t>
      </w:r>
      <w:r w:rsidRPr="005F67D9">
        <w:rPr>
          <w:rFonts w:ascii="PermianSerifTypeface" w:hAnsi="PermianSerifTypeface"/>
          <w:bCs/>
          <w:szCs w:val="24"/>
          <w:lang w:val="en-GB"/>
        </w:rPr>
        <w:t xml:space="preserve"> of participat</w:t>
      </w:r>
      <w:r w:rsidR="00FB4B6D" w:rsidRPr="005F67D9">
        <w:rPr>
          <w:rFonts w:ascii="PermianSerifTypeface" w:hAnsi="PermianSerifTypeface"/>
          <w:bCs/>
          <w:szCs w:val="24"/>
          <w:lang w:val="en-GB"/>
        </w:rPr>
        <w:t>ion</w:t>
      </w:r>
      <w:r w:rsidRPr="005F67D9">
        <w:rPr>
          <w:rFonts w:ascii="PermianSerifTypeface" w:hAnsi="PermianSerifTypeface"/>
          <w:bCs/>
          <w:szCs w:val="24"/>
          <w:lang w:val="en-GB"/>
        </w:rPr>
        <w:t xml:space="preserve"> in the </w:t>
      </w:r>
      <w:r w:rsidR="00EB1F71" w:rsidRPr="005F67D9">
        <w:rPr>
          <w:rFonts w:ascii="PermianSerifTypeface" w:hAnsi="PermianSerifTypeface"/>
          <w:bCs/>
          <w:szCs w:val="24"/>
          <w:lang w:val="en-GB"/>
        </w:rPr>
        <w:t xml:space="preserve">Single </w:t>
      </w:r>
      <w:r w:rsidRPr="005F67D9">
        <w:rPr>
          <w:rFonts w:ascii="PermianSerifTypeface" w:hAnsi="PermianSerifTypeface"/>
          <w:bCs/>
          <w:szCs w:val="24"/>
          <w:lang w:val="en-GB"/>
        </w:rPr>
        <w:t>Central Securities Depository, approved by the Decision of the Executive Board of the NBM no.159 of 11 July 2018</w:t>
      </w:r>
    </w:p>
    <w:p w14:paraId="42F6E01E" w14:textId="77777777" w:rsidR="00DB4AB8" w:rsidRPr="005F67D9" w:rsidRDefault="00DB4AB8" w:rsidP="005C0CA9">
      <w:pPr>
        <w:pStyle w:val="Title"/>
        <w:jc w:val="left"/>
        <w:rPr>
          <w:rFonts w:ascii="PermianSerifTypeface" w:hAnsi="PermianSerifTypeface"/>
          <w:bCs/>
          <w:szCs w:val="24"/>
          <w:lang w:val="en-GB"/>
        </w:rPr>
      </w:pPr>
    </w:p>
    <w:p w14:paraId="0630F50A" w14:textId="77777777" w:rsidR="00A02257" w:rsidRPr="005F67D9" w:rsidRDefault="00A02257" w:rsidP="00B86B64">
      <w:pPr>
        <w:pStyle w:val="Title"/>
        <w:spacing w:after="120"/>
        <w:ind w:left="-142" w:right="0" w:firstLine="142"/>
        <w:rPr>
          <w:rFonts w:ascii="PermianSerifTypeface" w:hAnsi="PermianSerifTypeface"/>
          <w:b w:val="0"/>
          <w:bCs/>
          <w:i/>
          <w:noProof/>
          <w:szCs w:val="24"/>
          <w:lang w:val="en-GB"/>
        </w:rPr>
      </w:pPr>
    </w:p>
    <w:p w14:paraId="3FBF143D" w14:textId="3FCF13A2" w:rsidR="00B86B64" w:rsidRPr="00D66EE5" w:rsidRDefault="00B86B64" w:rsidP="00B86B64">
      <w:pPr>
        <w:pStyle w:val="Title"/>
        <w:spacing w:after="120"/>
        <w:ind w:left="-142" w:right="0" w:firstLine="142"/>
        <w:rPr>
          <w:rFonts w:ascii="PermianSerifTypeface" w:hAnsi="PermianSerifTypeface"/>
          <w:b w:val="0"/>
          <w:bCs/>
          <w:i/>
          <w:noProof/>
          <w:sz w:val="16"/>
          <w:szCs w:val="16"/>
          <w:lang w:val="en-GB"/>
        </w:rPr>
      </w:pPr>
      <w:r w:rsidRPr="00D66EE5">
        <w:rPr>
          <w:rFonts w:ascii="PermianSerifTypeface" w:hAnsi="PermianSerifTypeface"/>
          <w:b w:val="0"/>
          <w:bCs/>
          <w:i/>
          <w:noProof/>
          <w:sz w:val="16"/>
          <w:szCs w:val="16"/>
          <w:lang w:val="en-GB"/>
        </w:rPr>
        <w:t>Published in the Official Monitor of the Republic of Moldova no. 277-284 art. 1170 on 27.07.2018</w:t>
      </w:r>
    </w:p>
    <w:p w14:paraId="222D0ED5" w14:textId="59853AF5" w:rsidR="0099649D" w:rsidRDefault="0099649D" w:rsidP="00EB1F71">
      <w:pPr>
        <w:pStyle w:val="Title"/>
        <w:jc w:val="left"/>
        <w:rPr>
          <w:rFonts w:ascii="PermianSerifTypeface" w:hAnsi="PermianSerifTypeface"/>
          <w:b w:val="0"/>
          <w:bCs/>
          <w:szCs w:val="24"/>
          <w:lang w:val="en-GB"/>
        </w:rPr>
      </w:pPr>
    </w:p>
    <w:p w14:paraId="6733B067" w14:textId="77777777" w:rsidR="00C91FEC" w:rsidRPr="00E9355B" w:rsidRDefault="00C91FEC" w:rsidP="00EB1F71">
      <w:pPr>
        <w:pStyle w:val="Title"/>
        <w:jc w:val="left"/>
        <w:rPr>
          <w:rFonts w:ascii="PermianSerifTypeface" w:hAnsi="PermianSerifTypeface"/>
          <w:b w:val="0"/>
          <w:bCs/>
          <w:szCs w:val="24"/>
          <w:lang w:val="en-GB"/>
        </w:rPr>
      </w:pPr>
    </w:p>
    <w:p w14:paraId="4ED553DC" w14:textId="2A4F1B26" w:rsidR="00B86B64" w:rsidRPr="00E9355B" w:rsidRDefault="00B86B64" w:rsidP="00EB1F71">
      <w:pPr>
        <w:pStyle w:val="Title"/>
        <w:ind w:left="6480"/>
        <w:jc w:val="right"/>
        <w:rPr>
          <w:rFonts w:ascii="PermianSerifTypeface" w:hAnsi="PermianSerifTypeface"/>
          <w:b w:val="0"/>
          <w:bCs/>
          <w:noProof/>
          <w:szCs w:val="24"/>
          <w:lang w:val="en-GB"/>
        </w:rPr>
      </w:pPr>
      <w:r w:rsidRPr="00E9355B">
        <w:rPr>
          <w:rFonts w:ascii="PermianSerifTypeface" w:hAnsi="PermianSerifTypeface"/>
          <w:noProof/>
          <w:szCs w:val="24"/>
          <w:lang w:val="en-GB"/>
        </w:rPr>
        <w:t>R</w:t>
      </w:r>
      <w:r w:rsidR="00EB1F71" w:rsidRPr="00E9355B">
        <w:rPr>
          <w:rFonts w:ascii="PermianSerifTypeface" w:hAnsi="PermianSerifTypeface"/>
          <w:noProof/>
          <w:szCs w:val="24"/>
          <w:lang w:val="en-GB"/>
        </w:rPr>
        <w:t>egistered</w:t>
      </w:r>
      <w:r w:rsidRPr="00E9355B">
        <w:rPr>
          <w:rFonts w:ascii="PermianSerifTypeface" w:hAnsi="PermianSerifTypeface"/>
          <w:b w:val="0"/>
          <w:bCs/>
          <w:noProof/>
          <w:szCs w:val="24"/>
          <w:lang w:val="en-GB"/>
        </w:rPr>
        <w:t>:</w:t>
      </w:r>
    </w:p>
    <w:p w14:paraId="68FEED38" w14:textId="77777777" w:rsidR="00B86B64" w:rsidRPr="00E9355B" w:rsidRDefault="00B86B64" w:rsidP="00EB1F71">
      <w:pPr>
        <w:pStyle w:val="Title"/>
        <w:ind w:left="6480"/>
        <w:jc w:val="right"/>
        <w:rPr>
          <w:rFonts w:ascii="PermianSerifTypeface" w:hAnsi="PermianSerifTypeface"/>
          <w:b w:val="0"/>
          <w:bCs/>
          <w:noProof/>
          <w:szCs w:val="24"/>
          <w:lang w:val="en-GB"/>
        </w:rPr>
      </w:pPr>
      <w:r w:rsidRPr="00E9355B">
        <w:rPr>
          <w:rFonts w:ascii="PermianSerifTypeface" w:hAnsi="PermianSerifTypeface"/>
          <w:b w:val="0"/>
          <w:bCs/>
          <w:noProof/>
          <w:szCs w:val="24"/>
          <w:lang w:val="en-GB"/>
        </w:rPr>
        <w:t>By the Ministry of Justice</w:t>
      </w:r>
    </w:p>
    <w:p w14:paraId="15CF21D2" w14:textId="37D14849" w:rsidR="00B86B64" w:rsidRPr="00E9355B" w:rsidRDefault="00B86B64" w:rsidP="00EB1F71">
      <w:pPr>
        <w:pStyle w:val="Title"/>
        <w:ind w:left="6480"/>
        <w:jc w:val="right"/>
        <w:rPr>
          <w:rFonts w:ascii="PermianSerifTypeface" w:hAnsi="PermianSerifTypeface"/>
          <w:b w:val="0"/>
          <w:bCs/>
          <w:noProof/>
          <w:szCs w:val="24"/>
          <w:lang w:val="en-GB"/>
        </w:rPr>
      </w:pPr>
      <w:r w:rsidRPr="00E9355B">
        <w:rPr>
          <w:rFonts w:ascii="PermianSerifTypeface" w:hAnsi="PermianSerifTypeface"/>
          <w:b w:val="0"/>
          <w:bCs/>
          <w:noProof/>
          <w:szCs w:val="24"/>
          <w:lang w:val="en-GB"/>
        </w:rPr>
        <w:t>of the Republic of Moldova</w:t>
      </w:r>
    </w:p>
    <w:p w14:paraId="4651302F" w14:textId="72CEFD4C" w:rsidR="00B86B64" w:rsidRPr="00E9355B" w:rsidRDefault="00B86B64" w:rsidP="00B02916">
      <w:pPr>
        <w:pStyle w:val="Title"/>
        <w:jc w:val="right"/>
        <w:rPr>
          <w:rFonts w:ascii="PermianSerifTypeface" w:hAnsi="PermianSerifTypeface"/>
          <w:b w:val="0"/>
          <w:bCs/>
          <w:noProof/>
          <w:szCs w:val="24"/>
          <w:lang w:val="en-GB"/>
        </w:rPr>
      </w:pPr>
      <w:r w:rsidRPr="00E9355B">
        <w:rPr>
          <w:rFonts w:ascii="PermianSerifTypeface" w:hAnsi="PermianSerifTypeface"/>
          <w:b w:val="0"/>
          <w:bCs/>
          <w:noProof/>
          <w:szCs w:val="24"/>
          <w:lang w:val="en-GB"/>
        </w:rPr>
        <w:t>under no. 1345 on 19 July 2018</w:t>
      </w:r>
    </w:p>
    <w:p w14:paraId="09D83237" w14:textId="5AA51F61" w:rsidR="00EB1F71" w:rsidRPr="00E9355B" w:rsidRDefault="00EB1F71" w:rsidP="00EB1F71">
      <w:pPr>
        <w:pStyle w:val="Title"/>
        <w:ind w:left="6480"/>
        <w:jc w:val="right"/>
        <w:rPr>
          <w:rFonts w:ascii="PermianSerifTypeface" w:hAnsi="PermianSerifTypeface"/>
          <w:b w:val="0"/>
          <w:bCs/>
          <w:noProof/>
          <w:szCs w:val="24"/>
          <w:lang w:val="en-GB"/>
        </w:rPr>
      </w:pPr>
    </w:p>
    <w:p w14:paraId="1E5EEB28" w14:textId="77777777" w:rsidR="00EB1F71" w:rsidRPr="00E9355B" w:rsidRDefault="00EB1F71" w:rsidP="00EB1F71">
      <w:pPr>
        <w:pStyle w:val="Title"/>
        <w:ind w:left="6480"/>
        <w:jc w:val="right"/>
        <w:rPr>
          <w:rFonts w:ascii="PermianSerifTypeface" w:hAnsi="PermianSerifTypeface"/>
          <w:noProof/>
          <w:szCs w:val="24"/>
          <w:lang w:val="en-GB"/>
        </w:rPr>
      </w:pPr>
      <w:r w:rsidRPr="00E9355B">
        <w:rPr>
          <w:rFonts w:ascii="PermianSerifTypeface" w:hAnsi="PermianSerifTypeface"/>
          <w:noProof/>
          <w:szCs w:val="24"/>
          <w:lang w:val="en-GB"/>
        </w:rPr>
        <w:t>Approved</w:t>
      </w:r>
    </w:p>
    <w:p w14:paraId="3A702E4E" w14:textId="77777777" w:rsidR="00EB1F71" w:rsidRPr="00E9355B" w:rsidRDefault="00EB1F71" w:rsidP="00EB1F71">
      <w:pPr>
        <w:pStyle w:val="Title"/>
        <w:jc w:val="right"/>
        <w:rPr>
          <w:rFonts w:ascii="PermianSerifTypeface" w:hAnsi="PermianSerifTypeface"/>
          <w:b w:val="0"/>
          <w:bCs/>
          <w:noProof/>
          <w:szCs w:val="24"/>
          <w:lang w:val="en-GB"/>
        </w:rPr>
      </w:pPr>
      <w:r w:rsidRPr="00E9355B">
        <w:rPr>
          <w:rFonts w:ascii="PermianSerifTypeface" w:hAnsi="PermianSerifTypeface"/>
          <w:b w:val="0"/>
          <w:bCs/>
          <w:noProof/>
          <w:szCs w:val="24"/>
          <w:lang w:val="en-GB"/>
        </w:rPr>
        <w:t xml:space="preserve">By Resolution of the Executive Board </w:t>
      </w:r>
    </w:p>
    <w:p w14:paraId="7CAD38D4" w14:textId="77777777" w:rsidR="00EB1F71" w:rsidRPr="00E9355B" w:rsidRDefault="00EB1F71" w:rsidP="00EB1F71">
      <w:pPr>
        <w:pStyle w:val="Title"/>
        <w:jc w:val="right"/>
        <w:rPr>
          <w:rFonts w:ascii="PermianSerifTypeface" w:hAnsi="PermianSerifTypeface"/>
          <w:b w:val="0"/>
          <w:bCs/>
          <w:noProof/>
          <w:szCs w:val="24"/>
          <w:lang w:val="en-GB"/>
        </w:rPr>
      </w:pPr>
      <w:r w:rsidRPr="00E9355B">
        <w:rPr>
          <w:rFonts w:ascii="PermianSerifTypeface" w:hAnsi="PermianSerifTypeface"/>
          <w:b w:val="0"/>
          <w:bCs/>
          <w:noProof/>
          <w:szCs w:val="24"/>
          <w:lang w:val="en-GB"/>
        </w:rPr>
        <w:t xml:space="preserve">of the National Bank of Moldova </w:t>
      </w:r>
    </w:p>
    <w:p w14:paraId="0BB1BF42" w14:textId="37AD41B1" w:rsidR="00EB1F71" w:rsidRPr="00E9355B" w:rsidRDefault="00EB1F71" w:rsidP="00EB1F71">
      <w:pPr>
        <w:pStyle w:val="Title"/>
        <w:ind w:left="6480"/>
        <w:jc w:val="right"/>
        <w:rPr>
          <w:rFonts w:ascii="PermianSerifTypeface" w:hAnsi="PermianSerifTypeface"/>
          <w:b w:val="0"/>
          <w:bCs/>
          <w:noProof/>
          <w:szCs w:val="24"/>
          <w:lang w:val="en-GB"/>
        </w:rPr>
      </w:pPr>
      <w:r w:rsidRPr="00E9355B">
        <w:rPr>
          <w:rFonts w:ascii="PermianSerifTypeface" w:hAnsi="PermianSerifTypeface"/>
          <w:b w:val="0"/>
          <w:bCs/>
          <w:noProof/>
          <w:szCs w:val="24"/>
          <w:lang w:val="en-GB"/>
        </w:rPr>
        <w:t>no. 159 of 11.07.2018</w:t>
      </w:r>
    </w:p>
    <w:p w14:paraId="457E369F" w14:textId="4C23BC32" w:rsidR="0099649D" w:rsidRPr="00E9355B" w:rsidRDefault="005F67D9" w:rsidP="005F67D9">
      <w:pPr>
        <w:pStyle w:val="Title"/>
        <w:ind w:left="6480"/>
        <w:jc w:val="right"/>
        <w:rPr>
          <w:rFonts w:ascii="PermianSerifTypeface" w:hAnsi="PermianSerifTypeface"/>
          <w:b w:val="0"/>
          <w:bCs/>
          <w:szCs w:val="24"/>
          <w:lang w:val="en-GB"/>
        </w:rPr>
      </w:pPr>
      <w:r w:rsidRPr="00E9355B">
        <w:rPr>
          <w:rFonts w:ascii="PermianSerifTypeface" w:hAnsi="PermianSerifTypeface"/>
          <w:b w:val="0"/>
          <w:bCs/>
          <w:szCs w:val="24"/>
          <w:lang w:val="en-GB"/>
        </w:rPr>
        <w:t>(</w:t>
      </w:r>
      <w:proofErr w:type="gramStart"/>
      <w:r w:rsidRPr="00E9355B">
        <w:rPr>
          <w:rFonts w:ascii="PermianSerifTypeface" w:hAnsi="PermianSerifTypeface"/>
          <w:b w:val="0"/>
          <w:bCs/>
          <w:szCs w:val="24"/>
          <w:lang w:val="en-GB"/>
        </w:rPr>
        <w:t>in</w:t>
      </w:r>
      <w:proofErr w:type="gramEnd"/>
      <w:r w:rsidRPr="00E9355B">
        <w:rPr>
          <w:rFonts w:ascii="PermianSerifTypeface" w:hAnsi="PermianSerifTypeface"/>
          <w:b w:val="0"/>
          <w:bCs/>
          <w:szCs w:val="24"/>
          <w:lang w:val="en-GB"/>
        </w:rPr>
        <w:t xml:space="preserve"> force from 27.07.2018)</w:t>
      </w:r>
    </w:p>
    <w:p w14:paraId="7FD77F58" w14:textId="77777777" w:rsidR="00EB576C" w:rsidRPr="00E9355B" w:rsidRDefault="00EB576C" w:rsidP="00A142DF">
      <w:pPr>
        <w:spacing w:line="276" w:lineRule="auto"/>
        <w:jc w:val="center"/>
        <w:rPr>
          <w:rFonts w:ascii="PermianSerifTypeface" w:hAnsi="PermianSerifTypeface"/>
          <w:b/>
          <w:lang w:val="en-GB"/>
        </w:rPr>
      </w:pPr>
    </w:p>
    <w:p w14:paraId="48C9834F" w14:textId="06E0F9B0" w:rsidR="00A142DF" w:rsidRPr="00E9355B" w:rsidRDefault="00A142DF" w:rsidP="00A142DF">
      <w:pPr>
        <w:spacing w:line="276" w:lineRule="auto"/>
        <w:jc w:val="center"/>
        <w:rPr>
          <w:rFonts w:ascii="PermianSerifTypeface" w:hAnsi="PermianSerifTypeface"/>
          <w:b/>
          <w:lang w:val="en-GB"/>
        </w:rPr>
      </w:pPr>
      <w:r w:rsidRPr="00E9355B">
        <w:rPr>
          <w:rFonts w:ascii="PermianSerifTypeface" w:hAnsi="PermianSerifTypeface"/>
          <w:b/>
          <w:lang w:val="en-GB"/>
        </w:rPr>
        <w:t>REGULA</w:t>
      </w:r>
      <w:r w:rsidR="00EB576C" w:rsidRPr="00E9355B">
        <w:rPr>
          <w:rFonts w:ascii="PermianSerifTypeface" w:hAnsi="PermianSerifTypeface"/>
          <w:b/>
          <w:lang w:val="en-GB"/>
        </w:rPr>
        <w:t>TION</w:t>
      </w:r>
    </w:p>
    <w:p w14:paraId="75BF39F9" w14:textId="370D194B" w:rsidR="00A142DF" w:rsidRPr="00E9355B" w:rsidRDefault="00EB576C" w:rsidP="00A142DF">
      <w:pPr>
        <w:spacing w:line="276" w:lineRule="auto"/>
        <w:jc w:val="center"/>
        <w:rPr>
          <w:rFonts w:ascii="PermianSerifTypeface" w:hAnsi="PermianSerifTypeface"/>
          <w:b/>
          <w:lang w:val="en-GB"/>
        </w:rPr>
      </w:pPr>
      <w:r w:rsidRPr="00E9355B">
        <w:rPr>
          <w:rFonts w:ascii="PermianSerifTypeface" w:hAnsi="PermianSerifTypeface"/>
          <w:b/>
          <w:bCs/>
          <w:lang w:val="en-GB"/>
        </w:rPr>
        <w:t xml:space="preserve">on the conditions for granting, suspending and withdrawing </w:t>
      </w:r>
      <w:r w:rsidR="00A70563" w:rsidRPr="00E9355B">
        <w:rPr>
          <w:rFonts w:ascii="PermianSerifTypeface" w:hAnsi="PermianSerifTypeface"/>
          <w:b/>
          <w:bCs/>
          <w:lang w:val="en-GB"/>
        </w:rPr>
        <w:t>the rights</w:t>
      </w:r>
      <w:r w:rsidRPr="00E9355B">
        <w:rPr>
          <w:rFonts w:ascii="PermianSerifTypeface" w:hAnsi="PermianSerifTypeface"/>
          <w:b/>
          <w:bCs/>
          <w:lang w:val="en-GB"/>
        </w:rPr>
        <w:t xml:space="preserve"> of participat</w:t>
      </w:r>
      <w:r w:rsidR="00A70563" w:rsidRPr="00E9355B">
        <w:rPr>
          <w:rFonts w:ascii="PermianSerifTypeface" w:hAnsi="PermianSerifTypeface"/>
          <w:b/>
          <w:bCs/>
          <w:lang w:val="en-GB"/>
        </w:rPr>
        <w:t>ion</w:t>
      </w:r>
      <w:r w:rsidRPr="00E9355B">
        <w:rPr>
          <w:rFonts w:ascii="PermianSerifTypeface" w:hAnsi="PermianSerifTypeface"/>
          <w:b/>
          <w:bCs/>
          <w:lang w:val="en-GB"/>
        </w:rPr>
        <w:t xml:space="preserve"> in the </w:t>
      </w:r>
      <w:r w:rsidR="00C40544" w:rsidRPr="00E9355B">
        <w:rPr>
          <w:rFonts w:ascii="PermianSerifTypeface" w:hAnsi="PermianSerifTypeface"/>
          <w:b/>
          <w:bCs/>
          <w:lang w:val="en-GB"/>
        </w:rPr>
        <w:t xml:space="preserve">Single </w:t>
      </w:r>
      <w:r w:rsidRPr="00E9355B">
        <w:rPr>
          <w:rFonts w:ascii="PermianSerifTypeface" w:hAnsi="PermianSerifTypeface"/>
          <w:b/>
          <w:bCs/>
          <w:lang w:val="en-GB"/>
        </w:rPr>
        <w:t>Central Securities Depository</w:t>
      </w:r>
    </w:p>
    <w:p w14:paraId="44200236" w14:textId="7C5C6876" w:rsidR="00B17F06" w:rsidRPr="00E9355B" w:rsidRDefault="00B17F06" w:rsidP="00B17F06">
      <w:pPr>
        <w:tabs>
          <w:tab w:val="left" w:pos="1134"/>
        </w:tabs>
        <w:jc w:val="center"/>
        <w:rPr>
          <w:rFonts w:ascii="PermianSerifTypeface" w:hAnsi="PermianSerifTypeface"/>
          <w:b/>
          <w:bCs/>
          <w:lang w:val="en-GB"/>
        </w:rPr>
      </w:pPr>
    </w:p>
    <w:p w14:paraId="00207427" w14:textId="44B5425F" w:rsidR="005F67D9" w:rsidRPr="00D66EE5" w:rsidRDefault="005F67D9" w:rsidP="005F67D9">
      <w:pPr>
        <w:tabs>
          <w:tab w:val="left" w:pos="1134"/>
        </w:tabs>
        <w:rPr>
          <w:rFonts w:ascii="PermianSerifTypeface" w:hAnsi="PermianSerifTypeface"/>
          <w:bCs/>
          <w:i/>
          <w:noProof/>
          <w:sz w:val="16"/>
          <w:szCs w:val="16"/>
          <w:lang w:val="en-GB"/>
        </w:rPr>
      </w:pPr>
      <w:r w:rsidRPr="00D66EE5">
        <w:rPr>
          <w:rFonts w:ascii="PermianSerifTypeface" w:hAnsi="PermianSerifTypeface"/>
          <w:bCs/>
          <w:i/>
          <w:noProof/>
          <w:sz w:val="16"/>
          <w:szCs w:val="16"/>
          <w:lang w:val="en-GB"/>
        </w:rPr>
        <w:t xml:space="preserve">Amended by: </w:t>
      </w:r>
    </w:p>
    <w:p w14:paraId="2B1AF853" w14:textId="7DE70C31" w:rsidR="005F67D9" w:rsidRPr="00D66EE5" w:rsidRDefault="005F67D9" w:rsidP="005F67D9">
      <w:pPr>
        <w:tabs>
          <w:tab w:val="left" w:pos="1134"/>
        </w:tabs>
        <w:rPr>
          <w:rFonts w:ascii="PermianSerifTypeface" w:hAnsi="PermianSerifTypeface"/>
          <w:bCs/>
          <w:i/>
          <w:noProof/>
          <w:sz w:val="16"/>
          <w:szCs w:val="16"/>
          <w:lang w:val="en-GB"/>
        </w:rPr>
      </w:pPr>
      <w:r w:rsidRPr="00D66EE5">
        <w:rPr>
          <w:rFonts w:ascii="PermianSerifTypeface" w:hAnsi="PermianSerifTypeface"/>
          <w:bCs/>
          <w:i/>
          <w:noProof/>
          <w:sz w:val="16"/>
          <w:szCs w:val="16"/>
          <w:lang w:val="en-GB"/>
        </w:rPr>
        <w:t>Decision No 188 of 24 July 2024 of the Executive Board of the National Bank of Moldova</w:t>
      </w:r>
    </w:p>
    <w:p w14:paraId="1B01BC18" w14:textId="033EDAFB" w:rsidR="00A142DF" w:rsidRPr="005F67D9" w:rsidRDefault="00A142DF" w:rsidP="00B17F06">
      <w:pPr>
        <w:tabs>
          <w:tab w:val="left" w:pos="1134"/>
        </w:tabs>
        <w:jc w:val="center"/>
        <w:rPr>
          <w:rFonts w:ascii="PermianSerifTypeface" w:hAnsi="PermianSerifTypeface"/>
          <w:b/>
          <w:bCs/>
          <w:lang w:val="en-GB"/>
        </w:rPr>
      </w:pPr>
      <w:r w:rsidRPr="005F67D9">
        <w:rPr>
          <w:rFonts w:ascii="PermianSerifTypeface" w:hAnsi="PermianSerifTypeface"/>
          <w:b/>
          <w:bCs/>
          <w:lang w:val="en-GB"/>
        </w:rPr>
        <w:t>C</w:t>
      </w:r>
      <w:r w:rsidR="00390149" w:rsidRPr="005F67D9">
        <w:rPr>
          <w:rFonts w:ascii="PermianSerifTypeface" w:hAnsi="PermianSerifTypeface"/>
          <w:b/>
          <w:bCs/>
          <w:lang w:val="en-GB"/>
        </w:rPr>
        <w:t>HAPTER</w:t>
      </w:r>
      <w:r w:rsidRPr="005F67D9">
        <w:rPr>
          <w:rFonts w:ascii="PermianSerifTypeface" w:hAnsi="PermianSerifTypeface"/>
          <w:b/>
          <w:bCs/>
          <w:lang w:val="en-GB"/>
        </w:rPr>
        <w:t xml:space="preserve"> I</w:t>
      </w:r>
    </w:p>
    <w:p w14:paraId="2C999C78" w14:textId="108E2DF3" w:rsidR="00A142DF" w:rsidRPr="005F67D9" w:rsidRDefault="00390149" w:rsidP="00B17F06">
      <w:pPr>
        <w:tabs>
          <w:tab w:val="left" w:pos="1134"/>
        </w:tabs>
        <w:jc w:val="center"/>
        <w:rPr>
          <w:rFonts w:ascii="PermianSerifTypeface" w:hAnsi="PermianSerifTypeface"/>
          <w:b/>
          <w:lang w:val="en-GB"/>
        </w:rPr>
      </w:pPr>
      <w:r w:rsidRPr="005F67D9">
        <w:rPr>
          <w:rFonts w:ascii="PermianSerifTypeface" w:hAnsi="PermianSerifTypeface"/>
          <w:b/>
          <w:lang w:val="en-GB"/>
        </w:rPr>
        <w:t>General provisions</w:t>
      </w:r>
    </w:p>
    <w:p w14:paraId="1785C30B" w14:textId="18D09DE3" w:rsidR="00027B52" w:rsidRDefault="00C40544" w:rsidP="00B17F06">
      <w:pPr>
        <w:pStyle w:val="ListParagraph"/>
        <w:numPr>
          <w:ilvl w:val="0"/>
          <w:numId w:val="6"/>
        </w:numPr>
        <w:tabs>
          <w:tab w:val="left" w:pos="1134"/>
        </w:tabs>
        <w:ind w:left="0" w:firstLine="720"/>
        <w:jc w:val="both"/>
        <w:rPr>
          <w:rFonts w:ascii="PermianSerifTypeface" w:hAnsi="PermianSerifTypeface"/>
          <w:lang w:val="en-GB"/>
        </w:rPr>
      </w:pPr>
      <w:r w:rsidRPr="005F67D9">
        <w:rPr>
          <w:rFonts w:ascii="PermianSerifTypeface" w:hAnsi="PermianSerifTypeface"/>
          <w:bCs/>
          <w:lang w:val="en-GB"/>
        </w:rPr>
        <w:t xml:space="preserve">This Regulation </w:t>
      </w:r>
      <w:proofErr w:type="spellStart"/>
      <w:r w:rsidR="00ED56D2" w:rsidRPr="004B623E">
        <w:rPr>
          <w:rFonts w:ascii="PermianSerifTypeface" w:hAnsi="PermianSerifTypeface"/>
        </w:rPr>
        <w:t>lays</w:t>
      </w:r>
      <w:proofErr w:type="spellEnd"/>
      <w:r w:rsidR="00ED56D2" w:rsidRPr="004B623E">
        <w:rPr>
          <w:rFonts w:ascii="PermianSerifTypeface" w:hAnsi="PermianSerifTypeface"/>
        </w:rPr>
        <w:t xml:space="preserve"> </w:t>
      </w:r>
      <w:proofErr w:type="spellStart"/>
      <w:r w:rsidR="00ED56D2" w:rsidRPr="004B623E">
        <w:rPr>
          <w:rFonts w:ascii="PermianSerifTypeface" w:hAnsi="PermianSerifTypeface"/>
        </w:rPr>
        <w:t>down</w:t>
      </w:r>
      <w:proofErr w:type="spellEnd"/>
      <w:r w:rsidRPr="005F67D9">
        <w:rPr>
          <w:rFonts w:ascii="PermianSerifTypeface" w:hAnsi="PermianSerifTypeface"/>
          <w:bCs/>
          <w:lang w:val="en-GB"/>
        </w:rPr>
        <w:t xml:space="preserve"> the conditions for granting, suspending and withdrawing the right of participant in the Single Central Securities Depository (hereinafter - the Single Central Depository)</w:t>
      </w:r>
      <w:r w:rsidR="00027B52" w:rsidRPr="005F67D9">
        <w:rPr>
          <w:rFonts w:ascii="PermianSerifTypeface" w:hAnsi="PermianSerifTypeface"/>
          <w:noProof/>
          <w:lang w:val="en-GB"/>
        </w:rPr>
        <w:t>.</w:t>
      </w:r>
      <w:r w:rsidR="00027B52" w:rsidRPr="005F67D9">
        <w:rPr>
          <w:rFonts w:ascii="PermianSerifTypeface" w:hAnsi="PermianSerifTypeface"/>
          <w:lang w:val="en-GB"/>
        </w:rPr>
        <w:t xml:space="preserve"> </w:t>
      </w:r>
    </w:p>
    <w:p w14:paraId="134498EB" w14:textId="3181FF84" w:rsidR="005F67D9" w:rsidRPr="00D66EE5" w:rsidRDefault="005F67D9" w:rsidP="005F67D9">
      <w:pPr>
        <w:pStyle w:val="ListParagraph"/>
        <w:tabs>
          <w:tab w:val="left" w:pos="1134"/>
        </w:tabs>
        <w:jc w:val="both"/>
        <w:rPr>
          <w:rFonts w:ascii="PermianSerifTypeface" w:hAnsi="PermianSerifTypeface"/>
          <w:bCs/>
          <w:i/>
          <w:noProof/>
          <w:sz w:val="16"/>
          <w:szCs w:val="16"/>
          <w:lang w:val="en-GB"/>
        </w:rPr>
      </w:pPr>
      <w:bookmarkStart w:id="0" w:name="_Hlk178862359"/>
      <w:r w:rsidRPr="00D66EE5">
        <w:rPr>
          <w:rFonts w:ascii="PermianSerifTypeface" w:hAnsi="PermianSerifTypeface"/>
          <w:bCs/>
          <w:i/>
          <w:noProof/>
          <w:sz w:val="16"/>
          <w:szCs w:val="16"/>
          <w:lang w:val="en-GB"/>
        </w:rPr>
        <w:t>[Point 1 amended by Decision No 188 of 24 July 2024 of the Executive Board of the National Bank of Moldova]</w:t>
      </w:r>
    </w:p>
    <w:bookmarkEnd w:id="0"/>
    <w:p w14:paraId="1C146078" w14:textId="1645C6DD" w:rsidR="00A142DF" w:rsidRDefault="00C40544" w:rsidP="007B5DD4">
      <w:pPr>
        <w:pStyle w:val="ListParagraph"/>
        <w:numPr>
          <w:ilvl w:val="0"/>
          <w:numId w:val="6"/>
        </w:numPr>
        <w:tabs>
          <w:tab w:val="left" w:pos="1134"/>
        </w:tabs>
        <w:ind w:left="0" w:firstLine="709"/>
        <w:jc w:val="both"/>
        <w:rPr>
          <w:rFonts w:ascii="PermianSerifTypeface" w:hAnsi="PermianSerifTypeface"/>
          <w:lang w:val="en-GB"/>
        </w:rPr>
      </w:pPr>
      <w:r w:rsidRPr="005F67D9">
        <w:rPr>
          <w:rFonts w:ascii="PermianSerifTypeface" w:hAnsi="PermianSerifTypeface"/>
          <w:lang w:val="en-GB"/>
        </w:rPr>
        <w:t xml:space="preserve">Participants are required to comply with the provisions of Law no. 234/2016 on the Single Central Securities Depository (hereinafter – Law no. 234/2016), of the present Regulation, of </w:t>
      </w:r>
      <w:r w:rsidRPr="00B129A9">
        <w:rPr>
          <w:rFonts w:ascii="PermianSerifTypeface" w:hAnsi="PermianSerifTypeface"/>
          <w:lang w:val="en-GB"/>
        </w:rPr>
        <w:t xml:space="preserve">the </w:t>
      </w:r>
      <w:r w:rsidR="008A4270" w:rsidRPr="00B129A9">
        <w:rPr>
          <w:rFonts w:ascii="PermianSerifTypeface" w:hAnsi="PermianSerifTypeface"/>
          <w:lang w:val="en-GB"/>
        </w:rPr>
        <w:t>Single Central Securities Depository</w:t>
      </w:r>
      <w:r w:rsidR="008A4270" w:rsidRPr="00B129A9" w:rsidDel="008A4270">
        <w:rPr>
          <w:rFonts w:ascii="PermianSerifTypeface" w:hAnsi="PermianSerifTypeface"/>
          <w:lang w:val="en-GB"/>
        </w:rPr>
        <w:t xml:space="preserve"> </w:t>
      </w:r>
      <w:r w:rsidRPr="00B129A9">
        <w:rPr>
          <w:rFonts w:ascii="PermianSerifTypeface" w:hAnsi="PermianSerifTypeface"/>
          <w:lang w:val="en-GB"/>
        </w:rPr>
        <w:t>Rules</w:t>
      </w:r>
      <w:r w:rsidRPr="005F67D9">
        <w:rPr>
          <w:rFonts w:ascii="PermianSerifTypeface" w:hAnsi="PermianSerifTypeface"/>
          <w:lang w:val="en-GB"/>
        </w:rPr>
        <w:t xml:space="preserve">, as well as other regulations issued by the National Bank of Moldova (hereinafter </w:t>
      </w:r>
      <w:r w:rsidR="00264E27">
        <w:rPr>
          <w:rFonts w:ascii="PermianSerifTypeface" w:hAnsi="PermianSerifTypeface"/>
          <w:lang w:val="en-GB"/>
        </w:rPr>
        <w:t xml:space="preserve">- </w:t>
      </w:r>
      <w:r w:rsidRPr="005F67D9">
        <w:rPr>
          <w:rFonts w:ascii="PermianSerifTypeface" w:hAnsi="PermianSerifTypeface"/>
          <w:lang w:val="en-GB"/>
        </w:rPr>
        <w:t>NBM), the National Commission for Financial Markets (hereinafter – NCFM) and the Single Central Depository</w:t>
      </w:r>
      <w:r w:rsidR="00027B52" w:rsidRPr="005F67D9">
        <w:rPr>
          <w:rFonts w:ascii="PermianSerifTypeface" w:hAnsi="PermianSerifTypeface"/>
          <w:lang w:val="en-GB"/>
        </w:rPr>
        <w:t>.</w:t>
      </w:r>
    </w:p>
    <w:p w14:paraId="1ED399A6" w14:textId="6D974F7E" w:rsidR="005F67D9" w:rsidRPr="00D66EE5" w:rsidRDefault="005F67D9" w:rsidP="005F67D9">
      <w:pPr>
        <w:pStyle w:val="ListParagraph"/>
        <w:tabs>
          <w:tab w:val="left" w:pos="1134"/>
        </w:tabs>
        <w:ind w:left="709"/>
        <w:jc w:val="both"/>
        <w:rPr>
          <w:rFonts w:ascii="PermianSerifTypeface" w:hAnsi="PermianSerifTypeface"/>
          <w:bCs/>
          <w:i/>
          <w:noProof/>
          <w:sz w:val="16"/>
          <w:szCs w:val="16"/>
          <w:lang w:val="en-GB"/>
        </w:rPr>
      </w:pPr>
      <w:bookmarkStart w:id="1" w:name="_Hlk178862551"/>
      <w:r w:rsidRPr="00D66EE5">
        <w:rPr>
          <w:rFonts w:ascii="PermianSerifTypeface" w:hAnsi="PermianSerifTypeface"/>
          <w:bCs/>
          <w:i/>
          <w:noProof/>
          <w:sz w:val="16"/>
          <w:szCs w:val="16"/>
          <w:lang w:val="en-GB"/>
        </w:rPr>
        <w:t>[Point 2 amended by Decision No 188 of 24 July 2024 of the Executive Board of the National Bank of Moldova]</w:t>
      </w:r>
    </w:p>
    <w:bookmarkEnd w:id="1"/>
    <w:p w14:paraId="54C589E6" w14:textId="7B790074" w:rsidR="00A142DF" w:rsidRPr="005F67D9" w:rsidRDefault="00027B52" w:rsidP="007B5DD4">
      <w:pPr>
        <w:pStyle w:val="ListParagraph"/>
        <w:numPr>
          <w:ilvl w:val="0"/>
          <w:numId w:val="6"/>
        </w:numPr>
        <w:tabs>
          <w:tab w:val="left" w:pos="1134"/>
        </w:tabs>
        <w:ind w:left="0" w:firstLine="709"/>
        <w:jc w:val="both"/>
        <w:rPr>
          <w:rFonts w:ascii="PermianSerifTypeface" w:hAnsi="PermianSerifTypeface"/>
          <w:lang w:val="en-GB"/>
        </w:rPr>
      </w:pPr>
      <w:r w:rsidRPr="005F67D9">
        <w:rPr>
          <w:rFonts w:ascii="PermianSerifTypeface" w:hAnsi="PermianSerifTypeface"/>
          <w:lang w:val="en-GB"/>
        </w:rPr>
        <w:t>The terms and expressions used in this Regulation have the meanings provided in the Law no. 548</w:t>
      </w:r>
      <w:r w:rsidR="00C40544" w:rsidRPr="005F67D9">
        <w:rPr>
          <w:rFonts w:ascii="PermianSerifTypeface" w:hAnsi="PermianSerifTypeface"/>
          <w:lang w:val="en-GB"/>
        </w:rPr>
        <w:t>/</w:t>
      </w:r>
      <w:r w:rsidRPr="005F67D9">
        <w:rPr>
          <w:rFonts w:ascii="PermianSerifTypeface" w:hAnsi="PermianSerifTypeface"/>
          <w:lang w:val="en-GB"/>
        </w:rPr>
        <w:t>1995 on the National Bank of Moldova, Law no. 234/2016, Insolvency Law no. 149</w:t>
      </w:r>
      <w:r w:rsidR="00C40544" w:rsidRPr="005F67D9">
        <w:rPr>
          <w:rFonts w:ascii="PermianSerifTypeface" w:hAnsi="PermianSerifTypeface"/>
          <w:lang w:val="en-GB"/>
        </w:rPr>
        <w:t>/</w:t>
      </w:r>
      <w:r w:rsidRPr="005F67D9">
        <w:rPr>
          <w:rFonts w:ascii="PermianSerifTypeface" w:hAnsi="PermianSerifTypeface"/>
          <w:lang w:val="en-GB"/>
        </w:rPr>
        <w:t>2012, Law no. 171</w:t>
      </w:r>
      <w:r w:rsidR="00C40544" w:rsidRPr="005F67D9">
        <w:rPr>
          <w:rFonts w:ascii="PermianSerifTypeface" w:hAnsi="PermianSerifTypeface"/>
          <w:lang w:val="en-GB"/>
        </w:rPr>
        <w:t>/</w:t>
      </w:r>
      <w:r w:rsidRPr="005F67D9">
        <w:rPr>
          <w:rFonts w:ascii="PermianSerifTypeface" w:hAnsi="PermianSerifTypeface"/>
          <w:lang w:val="en-GB"/>
        </w:rPr>
        <w:t xml:space="preserve">2012 on the Capital market. For the purposes of this Regulation, the following term </w:t>
      </w:r>
      <w:r w:rsidR="00C40544" w:rsidRPr="005F67D9">
        <w:rPr>
          <w:rFonts w:ascii="PermianSerifTypeface" w:hAnsi="PermianSerifTypeface"/>
          <w:lang w:val="en-GB"/>
        </w:rPr>
        <w:t xml:space="preserve">is </w:t>
      </w:r>
      <w:r w:rsidRPr="005F67D9">
        <w:rPr>
          <w:rFonts w:ascii="PermianSerifTypeface" w:hAnsi="PermianSerifTypeface"/>
          <w:lang w:val="en-GB"/>
        </w:rPr>
        <w:t xml:space="preserve">also </w:t>
      </w:r>
      <w:r w:rsidR="00C40544" w:rsidRPr="005F67D9">
        <w:rPr>
          <w:rFonts w:ascii="PermianSerifTypeface" w:hAnsi="PermianSerifTypeface"/>
          <w:lang w:val="en-GB"/>
        </w:rPr>
        <w:t>established</w:t>
      </w:r>
      <w:r w:rsidRPr="005F67D9">
        <w:rPr>
          <w:rFonts w:ascii="PermianSerifTypeface" w:hAnsi="PermianSerifTypeface"/>
          <w:lang w:val="en-GB"/>
        </w:rPr>
        <w:t>:</w:t>
      </w:r>
    </w:p>
    <w:p w14:paraId="60B149EE" w14:textId="1A2A409B" w:rsidR="00027B52" w:rsidRPr="005F67D9" w:rsidRDefault="00C40544" w:rsidP="006C3972">
      <w:pPr>
        <w:pStyle w:val="ListParagraph"/>
        <w:tabs>
          <w:tab w:val="left" w:pos="1134"/>
        </w:tabs>
        <w:ind w:left="0" w:firstLine="720"/>
        <w:jc w:val="both"/>
        <w:rPr>
          <w:rFonts w:ascii="PermianSerifTypeface" w:hAnsi="PermianSerifTypeface"/>
          <w:i/>
          <w:lang w:val="en-GB"/>
        </w:rPr>
      </w:pPr>
      <w:r w:rsidRPr="005F67D9">
        <w:rPr>
          <w:rFonts w:ascii="PermianSerifTypeface" w:hAnsi="PermianSerifTypeface"/>
          <w:i/>
          <w:lang w:val="en-GB"/>
        </w:rPr>
        <w:t>Single</w:t>
      </w:r>
      <w:r w:rsidR="00027B52" w:rsidRPr="005F67D9">
        <w:rPr>
          <w:rFonts w:ascii="PermianSerifTypeface" w:hAnsi="PermianSerifTypeface"/>
          <w:i/>
          <w:lang w:val="en-GB"/>
        </w:rPr>
        <w:t xml:space="preserve"> Central </w:t>
      </w:r>
      <w:r w:rsidR="00C747EC" w:rsidRPr="005F67D9">
        <w:rPr>
          <w:rFonts w:ascii="PermianSerifTypeface" w:hAnsi="PermianSerifTypeface"/>
          <w:i/>
          <w:lang w:val="en-GB"/>
        </w:rPr>
        <w:t>D</w:t>
      </w:r>
      <w:r w:rsidR="00027B52" w:rsidRPr="005F67D9">
        <w:rPr>
          <w:rFonts w:ascii="PermianSerifTypeface" w:hAnsi="PermianSerifTypeface"/>
          <w:i/>
          <w:lang w:val="en-GB"/>
        </w:rPr>
        <w:t xml:space="preserve">epository </w:t>
      </w:r>
      <w:r w:rsidR="00C747EC" w:rsidRPr="005F67D9">
        <w:rPr>
          <w:rFonts w:ascii="PermianSerifTypeface" w:hAnsi="PermianSerifTypeface"/>
          <w:i/>
          <w:lang w:val="en-GB"/>
        </w:rPr>
        <w:t>S</w:t>
      </w:r>
      <w:r w:rsidR="00027B52" w:rsidRPr="005F67D9">
        <w:rPr>
          <w:rFonts w:ascii="PermianSerifTypeface" w:hAnsi="PermianSerifTypeface"/>
          <w:i/>
          <w:lang w:val="en-GB"/>
        </w:rPr>
        <w:t>ystem</w:t>
      </w:r>
      <w:r w:rsidR="00027B52" w:rsidRPr="005F67D9">
        <w:rPr>
          <w:rFonts w:ascii="PermianSerifTypeface" w:hAnsi="PermianSerifTypeface"/>
          <w:lang w:val="en-GB"/>
        </w:rPr>
        <w:t xml:space="preserve"> - securities settlement system, managed by the </w:t>
      </w:r>
      <w:r w:rsidR="00794DE3" w:rsidRPr="005F67D9">
        <w:rPr>
          <w:rFonts w:ascii="PermianSerifTypeface" w:hAnsi="PermianSerifTypeface"/>
          <w:lang w:val="en-GB"/>
        </w:rPr>
        <w:t xml:space="preserve">Single </w:t>
      </w:r>
      <w:r w:rsidR="00027B52" w:rsidRPr="005F67D9">
        <w:rPr>
          <w:rFonts w:ascii="PermianSerifTypeface" w:hAnsi="PermianSerifTypeface"/>
          <w:lang w:val="en-GB"/>
        </w:rPr>
        <w:t xml:space="preserve">Central Depository, which ensures the provision </w:t>
      </w:r>
      <w:r w:rsidR="00A659F2" w:rsidRPr="005F67D9">
        <w:rPr>
          <w:rFonts w:ascii="PermianSerifTypeface" w:hAnsi="PermianSerifTypeface"/>
          <w:lang w:val="en-GB"/>
        </w:rPr>
        <w:t xml:space="preserve">by the Single Central Depository </w:t>
      </w:r>
      <w:r w:rsidR="00027B52" w:rsidRPr="005F67D9">
        <w:rPr>
          <w:rFonts w:ascii="PermianSerifTypeface" w:hAnsi="PermianSerifTypeface"/>
          <w:lang w:val="en-GB"/>
        </w:rPr>
        <w:t>of securities registration, central</w:t>
      </w:r>
      <w:r w:rsidR="00C747EC" w:rsidRPr="005F67D9">
        <w:rPr>
          <w:rFonts w:ascii="PermianSerifTypeface" w:hAnsi="PermianSerifTypeface"/>
          <w:lang w:val="en-GB"/>
        </w:rPr>
        <w:t>i</w:t>
      </w:r>
      <w:r w:rsidR="00794DE3" w:rsidRPr="005F67D9">
        <w:rPr>
          <w:rFonts w:ascii="PermianSerifTypeface" w:hAnsi="PermianSerifTypeface"/>
          <w:lang w:val="en-GB"/>
        </w:rPr>
        <w:t>z</w:t>
      </w:r>
      <w:r w:rsidR="00C747EC" w:rsidRPr="005F67D9">
        <w:rPr>
          <w:rFonts w:ascii="PermianSerifTypeface" w:hAnsi="PermianSerifTypeface"/>
          <w:lang w:val="en-GB"/>
        </w:rPr>
        <w:t>ed</w:t>
      </w:r>
      <w:r w:rsidR="00027B52" w:rsidRPr="005F67D9">
        <w:rPr>
          <w:rFonts w:ascii="PermianSerifTypeface" w:hAnsi="PermianSerifTypeface"/>
          <w:lang w:val="en-GB"/>
        </w:rPr>
        <w:t xml:space="preserve"> </w:t>
      </w:r>
      <w:r w:rsidR="00C747EC" w:rsidRPr="005F67D9">
        <w:rPr>
          <w:rFonts w:ascii="PermianSerifTypeface" w:hAnsi="PermianSerifTypeface"/>
          <w:lang w:val="en-GB"/>
        </w:rPr>
        <w:t>administration</w:t>
      </w:r>
      <w:r w:rsidR="00027B52" w:rsidRPr="005F67D9">
        <w:rPr>
          <w:rFonts w:ascii="PermianSerifTypeface" w:hAnsi="PermianSerifTypeface"/>
          <w:lang w:val="en-GB"/>
        </w:rPr>
        <w:t xml:space="preserve"> and settlement services.</w:t>
      </w:r>
    </w:p>
    <w:p w14:paraId="09F4565B" w14:textId="2550F675" w:rsidR="00E9355B" w:rsidRPr="00E9355B" w:rsidRDefault="00D66EE5" w:rsidP="00E9355B">
      <w:pPr>
        <w:pStyle w:val="ListParagraph"/>
        <w:tabs>
          <w:tab w:val="left" w:pos="1134"/>
        </w:tabs>
        <w:ind w:left="709"/>
        <w:jc w:val="both"/>
        <w:rPr>
          <w:rFonts w:ascii="PermianSerifTypeface" w:hAnsi="PermianSerifTypeface"/>
          <w:bCs/>
          <w:i/>
          <w:noProof/>
          <w:sz w:val="16"/>
          <w:szCs w:val="16"/>
          <w:lang w:val="en-GB"/>
        </w:rPr>
      </w:pPr>
      <w:r w:rsidRPr="00D66EE5">
        <w:rPr>
          <w:rFonts w:ascii="PermianSerifTypeface" w:hAnsi="PermianSerifTypeface"/>
          <w:bCs/>
          <w:i/>
          <w:noProof/>
          <w:sz w:val="16"/>
          <w:szCs w:val="16"/>
          <w:lang w:val="en-GB"/>
        </w:rPr>
        <w:t>[Point 3 amended by Decision No 188 of 24 July 2024 of the Executive Board of the National Bank of Moldova]</w:t>
      </w:r>
    </w:p>
    <w:p w14:paraId="3BA6939D" w14:textId="77777777" w:rsidR="00E9355B" w:rsidRPr="005F67D9" w:rsidRDefault="00E9355B" w:rsidP="00B17F06">
      <w:pPr>
        <w:tabs>
          <w:tab w:val="left" w:pos="1134"/>
        </w:tabs>
        <w:jc w:val="center"/>
        <w:rPr>
          <w:rFonts w:ascii="PermianSerifTypeface" w:hAnsi="PermianSerifTypeface"/>
          <w:b/>
          <w:bCs/>
          <w:lang w:val="en-GB"/>
        </w:rPr>
      </w:pPr>
    </w:p>
    <w:p w14:paraId="2AB8BAF6" w14:textId="77777777" w:rsidR="007432DB" w:rsidRDefault="007432DB" w:rsidP="00B17F06">
      <w:pPr>
        <w:tabs>
          <w:tab w:val="left" w:pos="1134"/>
        </w:tabs>
        <w:jc w:val="center"/>
        <w:rPr>
          <w:rFonts w:ascii="PermianSerifTypeface" w:hAnsi="PermianSerifTypeface"/>
          <w:b/>
          <w:bCs/>
          <w:lang w:val="en-GB"/>
        </w:rPr>
      </w:pPr>
    </w:p>
    <w:p w14:paraId="0C269069" w14:textId="77777777" w:rsidR="007432DB" w:rsidRDefault="007432DB" w:rsidP="00B17F06">
      <w:pPr>
        <w:tabs>
          <w:tab w:val="left" w:pos="1134"/>
        </w:tabs>
        <w:jc w:val="center"/>
        <w:rPr>
          <w:rFonts w:ascii="PermianSerifTypeface" w:hAnsi="PermianSerifTypeface"/>
          <w:b/>
          <w:bCs/>
          <w:lang w:val="en-GB"/>
        </w:rPr>
      </w:pPr>
    </w:p>
    <w:p w14:paraId="24144DEF" w14:textId="0BE931C2" w:rsidR="00A142DF" w:rsidRPr="005F67D9" w:rsidRDefault="00A142DF" w:rsidP="00B17F06">
      <w:pPr>
        <w:tabs>
          <w:tab w:val="left" w:pos="1134"/>
        </w:tabs>
        <w:jc w:val="center"/>
        <w:rPr>
          <w:rFonts w:ascii="PermianSerifTypeface" w:hAnsi="PermianSerifTypeface"/>
          <w:b/>
          <w:bCs/>
          <w:lang w:val="en-GB"/>
        </w:rPr>
      </w:pPr>
      <w:r w:rsidRPr="005F67D9">
        <w:rPr>
          <w:rFonts w:ascii="PermianSerifTypeface" w:hAnsi="PermianSerifTypeface"/>
          <w:b/>
          <w:bCs/>
          <w:lang w:val="en-GB"/>
        </w:rPr>
        <w:lastRenderedPageBreak/>
        <w:t>C</w:t>
      </w:r>
      <w:r w:rsidR="00AE5C46" w:rsidRPr="005F67D9">
        <w:rPr>
          <w:rFonts w:ascii="PermianSerifTypeface" w:hAnsi="PermianSerifTypeface"/>
          <w:b/>
          <w:bCs/>
          <w:lang w:val="en-GB"/>
        </w:rPr>
        <w:t>HAPTER</w:t>
      </w:r>
      <w:r w:rsidRPr="005F67D9">
        <w:rPr>
          <w:rFonts w:ascii="PermianSerifTypeface" w:hAnsi="PermianSerifTypeface"/>
          <w:b/>
          <w:bCs/>
          <w:lang w:val="en-GB"/>
        </w:rPr>
        <w:t xml:space="preserve"> II</w:t>
      </w:r>
    </w:p>
    <w:p w14:paraId="39FE9820" w14:textId="3E7EB0B6" w:rsidR="00A142DF" w:rsidRDefault="00FB4B6D" w:rsidP="00B17F06">
      <w:pPr>
        <w:tabs>
          <w:tab w:val="left" w:pos="1134"/>
        </w:tabs>
        <w:jc w:val="center"/>
        <w:rPr>
          <w:rFonts w:ascii="PermianSerifTypeface" w:hAnsi="PermianSerifTypeface"/>
          <w:b/>
          <w:lang w:val="en-GB"/>
        </w:rPr>
      </w:pPr>
      <w:r w:rsidRPr="005F67D9">
        <w:rPr>
          <w:rFonts w:ascii="PermianSerifTypeface" w:hAnsi="PermianSerifTypeface"/>
          <w:b/>
          <w:lang w:val="en-GB"/>
        </w:rPr>
        <w:t xml:space="preserve">Granting the right of participation in the </w:t>
      </w:r>
      <w:r w:rsidR="00794DE3" w:rsidRPr="005F67D9">
        <w:rPr>
          <w:rFonts w:ascii="PermianSerifTypeface" w:hAnsi="PermianSerifTypeface"/>
          <w:b/>
          <w:lang w:val="en-GB"/>
        </w:rPr>
        <w:t xml:space="preserve">Single </w:t>
      </w:r>
      <w:r w:rsidRPr="005F67D9">
        <w:rPr>
          <w:rFonts w:ascii="PermianSerifTypeface" w:hAnsi="PermianSerifTypeface"/>
          <w:b/>
          <w:lang w:val="en-GB"/>
        </w:rPr>
        <w:t>Central Depository</w:t>
      </w:r>
    </w:p>
    <w:p w14:paraId="1D4E022C" w14:textId="77777777" w:rsidR="007432DB" w:rsidRPr="005F67D9" w:rsidRDefault="007432DB" w:rsidP="00B17F06">
      <w:pPr>
        <w:tabs>
          <w:tab w:val="left" w:pos="1134"/>
        </w:tabs>
        <w:jc w:val="center"/>
        <w:rPr>
          <w:rFonts w:ascii="PermianSerifTypeface" w:hAnsi="PermianSerifTypeface"/>
          <w:b/>
          <w:lang w:val="en-GB"/>
        </w:rPr>
      </w:pPr>
    </w:p>
    <w:p w14:paraId="771ED658" w14:textId="71DD511E" w:rsidR="00A142DF" w:rsidRPr="005F67D9" w:rsidRDefault="00FB4B6D" w:rsidP="00B17F06">
      <w:pPr>
        <w:pStyle w:val="ListParagraph"/>
        <w:numPr>
          <w:ilvl w:val="0"/>
          <w:numId w:val="6"/>
        </w:numPr>
        <w:tabs>
          <w:tab w:val="left" w:pos="1134"/>
        </w:tabs>
        <w:ind w:left="0" w:firstLine="720"/>
        <w:jc w:val="both"/>
        <w:rPr>
          <w:rFonts w:ascii="PermianSerifTypeface" w:hAnsi="PermianSerifTypeface"/>
          <w:lang w:val="en-GB"/>
        </w:rPr>
      </w:pPr>
      <w:bookmarkStart w:id="2" w:name="_Ref517256925"/>
      <w:r w:rsidRPr="005F67D9">
        <w:rPr>
          <w:rFonts w:ascii="PermianSerifTypeface" w:hAnsi="PermianSerifTypeface"/>
          <w:lang w:val="en-GB"/>
        </w:rPr>
        <w:t xml:space="preserve">Any of the following entities </w:t>
      </w:r>
      <w:r w:rsidR="00F579E5" w:rsidRPr="005F67D9">
        <w:rPr>
          <w:rFonts w:ascii="PermianSerifTypeface" w:hAnsi="PermianSerifTypeface"/>
          <w:lang w:val="en-GB"/>
        </w:rPr>
        <w:t>is</w:t>
      </w:r>
      <w:r w:rsidRPr="005F67D9">
        <w:rPr>
          <w:rFonts w:ascii="PermianSerifTypeface" w:hAnsi="PermianSerifTypeface"/>
          <w:lang w:val="en-GB"/>
        </w:rPr>
        <w:t xml:space="preserve"> entitled to receive the right of participation in the</w:t>
      </w:r>
      <w:r w:rsidR="00794DE3" w:rsidRPr="005F67D9">
        <w:rPr>
          <w:rFonts w:ascii="PermianSerifTypeface" w:hAnsi="PermianSerifTypeface"/>
          <w:lang w:val="en-GB"/>
        </w:rPr>
        <w:t xml:space="preserve"> Single</w:t>
      </w:r>
      <w:r w:rsidRPr="005F67D9">
        <w:rPr>
          <w:rFonts w:ascii="PermianSerifTypeface" w:hAnsi="PermianSerifTypeface"/>
          <w:lang w:val="en-GB"/>
        </w:rPr>
        <w:t xml:space="preserve"> Central Depository</w:t>
      </w:r>
      <w:r w:rsidR="00A142DF" w:rsidRPr="005F67D9">
        <w:rPr>
          <w:rFonts w:ascii="PermianSerifTypeface" w:hAnsi="PermianSerifTypeface"/>
          <w:lang w:val="en-GB"/>
        </w:rPr>
        <w:t>:</w:t>
      </w:r>
      <w:bookmarkEnd w:id="2"/>
    </w:p>
    <w:p w14:paraId="5352FDD0" w14:textId="61FD4CBA" w:rsidR="00F579E5" w:rsidRPr="005F67D9" w:rsidRDefault="00F579E5" w:rsidP="00F579E5">
      <w:pPr>
        <w:pStyle w:val="ListParagraph"/>
        <w:numPr>
          <w:ilvl w:val="1"/>
          <w:numId w:val="6"/>
        </w:numPr>
        <w:tabs>
          <w:tab w:val="left" w:pos="1134"/>
        </w:tabs>
        <w:ind w:left="1134" w:hanging="425"/>
        <w:jc w:val="both"/>
        <w:rPr>
          <w:rFonts w:ascii="PermianSerifTypeface" w:hAnsi="PermianSerifTypeface"/>
          <w:lang w:val="en-GB"/>
        </w:rPr>
      </w:pPr>
      <w:r w:rsidRPr="005F67D9">
        <w:rPr>
          <w:rFonts w:ascii="PermianSerifTypeface" w:hAnsi="PermianSerifTypeface"/>
          <w:lang w:val="en-GB"/>
        </w:rPr>
        <w:t xml:space="preserve">a bank, as defined by the Law no. </w:t>
      </w:r>
      <w:r w:rsidR="00794DE3" w:rsidRPr="005F67D9">
        <w:rPr>
          <w:rFonts w:ascii="PermianSerifTypeface" w:hAnsi="PermianSerifTypeface"/>
          <w:lang w:val="en-GB"/>
        </w:rPr>
        <w:t xml:space="preserve">202/2017 </w:t>
      </w:r>
      <w:r w:rsidR="00A659F2" w:rsidRPr="00A659F2">
        <w:rPr>
          <w:rFonts w:ascii="PermianSerifTypeface" w:hAnsi="PermianSerifTypeface"/>
          <w:lang w:val="en-GB"/>
        </w:rPr>
        <w:t>on the activity of banks</w:t>
      </w:r>
      <w:r w:rsidRPr="005F67D9">
        <w:rPr>
          <w:rFonts w:ascii="PermianSerifTypeface" w:hAnsi="PermianSerifTypeface"/>
          <w:lang w:val="en-GB"/>
        </w:rPr>
        <w:t>;</w:t>
      </w:r>
    </w:p>
    <w:p w14:paraId="31DFEAA8" w14:textId="7C10C8E2" w:rsidR="00F579E5" w:rsidRPr="00D66EE5" w:rsidRDefault="00F579E5" w:rsidP="00F579E5">
      <w:pPr>
        <w:pStyle w:val="ListParagraph"/>
        <w:numPr>
          <w:ilvl w:val="1"/>
          <w:numId w:val="6"/>
        </w:numPr>
        <w:tabs>
          <w:tab w:val="left" w:pos="1134"/>
        </w:tabs>
        <w:ind w:left="1134" w:hanging="425"/>
        <w:jc w:val="both"/>
        <w:rPr>
          <w:rFonts w:ascii="PermianSerifTypeface" w:hAnsi="PermianSerifTypeface"/>
          <w:lang w:val="en-GB"/>
        </w:rPr>
      </w:pPr>
      <w:r w:rsidRPr="005F67D9">
        <w:rPr>
          <w:rFonts w:ascii="PermianSerifTypeface" w:hAnsi="PermianSerifTypeface"/>
          <w:lang w:val="en-GB"/>
        </w:rPr>
        <w:t xml:space="preserve">an investment firm, as defined by the Law no. </w:t>
      </w:r>
      <w:r w:rsidR="00794DE3" w:rsidRPr="00D66EE5">
        <w:rPr>
          <w:rFonts w:ascii="PermianSerifTypeface" w:hAnsi="PermianSerifTypeface"/>
          <w:lang w:val="en-GB"/>
        </w:rPr>
        <w:t>171/2012</w:t>
      </w:r>
      <w:r w:rsidRPr="00D66EE5">
        <w:rPr>
          <w:rFonts w:ascii="PermianSerifTypeface" w:hAnsi="PermianSerifTypeface"/>
          <w:lang w:val="en-GB"/>
        </w:rPr>
        <w:t xml:space="preserve"> on the Capital market, which is entitled to provide custody services for financial instruments;</w:t>
      </w:r>
    </w:p>
    <w:p w14:paraId="7639FD8E" w14:textId="2AF76E8E" w:rsidR="00F579E5" w:rsidRPr="00D66EE5" w:rsidRDefault="00F579E5" w:rsidP="00F579E5">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an investment </w:t>
      </w:r>
      <w:r w:rsidR="00B664D1" w:rsidRPr="00D66EE5">
        <w:rPr>
          <w:rFonts w:ascii="PermianSerifTypeface" w:hAnsi="PermianSerifTypeface"/>
          <w:lang w:val="en-GB"/>
        </w:rPr>
        <w:t>firm</w:t>
      </w:r>
      <w:r w:rsidRPr="00D66EE5">
        <w:rPr>
          <w:rFonts w:ascii="PermianSerifTypeface" w:hAnsi="PermianSerifTypeface"/>
          <w:lang w:val="en-GB"/>
        </w:rPr>
        <w:t xml:space="preserve">, as defined by Law </w:t>
      </w:r>
      <w:r w:rsidR="00794DE3" w:rsidRPr="00D66EE5">
        <w:rPr>
          <w:rFonts w:ascii="PermianSerifTypeface" w:hAnsi="PermianSerifTypeface"/>
          <w:lang w:val="en-GB"/>
        </w:rPr>
        <w:t xml:space="preserve">no. 171/2012 </w:t>
      </w:r>
      <w:r w:rsidR="00B664D1" w:rsidRPr="00D66EE5">
        <w:rPr>
          <w:rFonts w:ascii="PermianSerifTypeface" w:hAnsi="PermianSerifTypeface"/>
          <w:lang w:val="en-GB"/>
        </w:rPr>
        <w:t>on</w:t>
      </w:r>
      <w:r w:rsidRPr="00D66EE5">
        <w:rPr>
          <w:rFonts w:ascii="PermianSerifTypeface" w:hAnsi="PermianSerifTypeface"/>
          <w:lang w:val="en-GB"/>
        </w:rPr>
        <w:t xml:space="preserve"> the </w:t>
      </w:r>
      <w:r w:rsidR="00B664D1" w:rsidRPr="00D66EE5">
        <w:rPr>
          <w:rFonts w:ascii="PermianSerifTypeface" w:hAnsi="PermianSerifTypeface"/>
          <w:lang w:val="en-GB"/>
        </w:rPr>
        <w:t>C</w:t>
      </w:r>
      <w:r w:rsidRPr="00D66EE5">
        <w:rPr>
          <w:rFonts w:ascii="PermianSerifTypeface" w:hAnsi="PermianSerifTypeface"/>
          <w:lang w:val="en-GB"/>
        </w:rPr>
        <w:t xml:space="preserve">apital market, other than stipulated in </w:t>
      </w:r>
      <w:r w:rsidR="0082361E" w:rsidRPr="00D66EE5">
        <w:rPr>
          <w:rFonts w:ascii="PermianSerifTypeface" w:hAnsi="PermianSerifTypeface"/>
          <w:lang w:val="en-GB"/>
        </w:rPr>
        <w:t>subpoint</w:t>
      </w:r>
      <w:r w:rsidRPr="00D66EE5">
        <w:rPr>
          <w:rFonts w:ascii="PermianSerifTypeface" w:hAnsi="PermianSerifTypeface"/>
          <w:lang w:val="en-GB"/>
        </w:rPr>
        <w:t xml:space="preserve"> 2);</w:t>
      </w:r>
    </w:p>
    <w:p w14:paraId="29C11837" w14:textId="2B7EFC34" w:rsidR="00F579E5" w:rsidRPr="00D66EE5" w:rsidRDefault="00F579E5" w:rsidP="00F579E5">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any enterprise </w:t>
      </w:r>
      <w:r w:rsidR="00D56B22" w:rsidRPr="00D66EE5">
        <w:rPr>
          <w:rFonts w:ascii="PermianSerifTypeface" w:hAnsi="PermianSerifTypeface"/>
          <w:lang w:val="en-GB"/>
        </w:rPr>
        <w:t>having</w:t>
      </w:r>
      <w:r w:rsidRPr="00D66EE5">
        <w:rPr>
          <w:rFonts w:ascii="PermianSerifTypeface" w:hAnsi="PermianSerifTypeface"/>
          <w:lang w:val="en-GB"/>
        </w:rPr>
        <w:t xml:space="preserve"> its </w:t>
      </w:r>
      <w:r w:rsidR="00D56B22" w:rsidRPr="00D66EE5">
        <w:rPr>
          <w:rFonts w:ascii="PermianSerifTypeface" w:hAnsi="PermianSerifTypeface"/>
          <w:lang w:val="en-GB"/>
        </w:rPr>
        <w:t>headquarters abroad,</w:t>
      </w:r>
      <w:r w:rsidRPr="00D66EE5">
        <w:rPr>
          <w:rFonts w:ascii="PermianSerifTypeface" w:hAnsi="PermianSerifTypeface"/>
          <w:lang w:val="en-GB"/>
        </w:rPr>
        <w:t xml:space="preserve"> which performs activities permitted to banks and investment </w:t>
      </w:r>
      <w:r w:rsidR="00D56B22" w:rsidRPr="00D66EE5">
        <w:rPr>
          <w:rFonts w:ascii="PermianSerifTypeface" w:hAnsi="PermianSerifTypeface"/>
          <w:lang w:val="en-GB"/>
        </w:rPr>
        <w:t>firms</w:t>
      </w:r>
      <w:r w:rsidRPr="00D66EE5">
        <w:rPr>
          <w:rFonts w:ascii="PermianSerifTypeface" w:hAnsi="PermianSerifTypeface"/>
          <w:lang w:val="en-GB"/>
        </w:rPr>
        <w:t>;</w:t>
      </w:r>
    </w:p>
    <w:p w14:paraId="6FCAB18C" w14:textId="64C7BA28" w:rsidR="00F579E5" w:rsidRPr="00D66EE5" w:rsidRDefault="00F579E5" w:rsidP="00F579E5">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public and publicly guaranteed entities</w:t>
      </w:r>
      <w:r w:rsidR="00D56B22" w:rsidRPr="00D66EE5">
        <w:rPr>
          <w:rFonts w:ascii="PermianSerifTypeface" w:hAnsi="PermianSerifTypeface"/>
          <w:lang w:val="en-GB"/>
        </w:rPr>
        <w:t>,</w:t>
      </w:r>
      <w:r w:rsidRPr="00D66EE5">
        <w:rPr>
          <w:rFonts w:ascii="PermianSerifTypeface" w:hAnsi="PermianSerifTypeface"/>
          <w:lang w:val="en-GB"/>
        </w:rPr>
        <w:t xml:space="preserve"> as follows:</w:t>
      </w:r>
    </w:p>
    <w:p w14:paraId="4E0A3135" w14:textId="77777777" w:rsidR="00F579E5" w:rsidRPr="00D66EE5" w:rsidRDefault="00F579E5" w:rsidP="00F579E5">
      <w:pPr>
        <w:pStyle w:val="ListParagraph"/>
        <w:tabs>
          <w:tab w:val="left" w:pos="1134"/>
        </w:tabs>
        <w:ind w:left="1134"/>
        <w:jc w:val="both"/>
        <w:rPr>
          <w:rFonts w:ascii="PermianSerifTypeface" w:hAnsi="PermianSerifTypeface"/>
          <w:lang w:val="en-GB"/>
        </w:rPr>
      </w:pPr>
      <w:r w:rsidRPr="00D66EE5">
        <w:rPr>
          <w:rFonts w:ascii="PermianSerifTypeface" w:hAnsi="PermianSerifTypeface"/>
          <w:lang w:val="en-GB"/>
        </w:rPr>
        <w:t>a) National Bank of Moldova;</w:t>
      </w:r>
    </w:p>
    <w:p w14:paraId="780EA713" w14:textId="77777777" w:rsidR="00F579E5" w:rsidRPr="00D66EE5" w:rsidRDefault="00F579E5" w:rsidP="00F579E5">
      <w:pPr>
        <w:pStyle w:val="ListParagraph"/>
        <w:tabs>
          <w:tab w:val="left" w:pos="1134"/>
        </w:tabs>
        <w:ind w:left="1134"/>
        <w:jc w:val="both"/>
        <w:rPr>
          <w:rFonts w:ascii="PermianSerifTypeface" w:hAnsi="PermianSerifTypeface"/>
          <w:lang w:val="en-GB"/>
        </w:rPr>
      </w:pPr>
      <w:r w:rsidRPr="00D66EE5">
        <w:rPr>
          <w:rFonts w:ascii="PermianSerifTypeface" w:hAnsi="PermianSerifTypeface"/>
          <w:lang w:val="en-GB"/>
        </w:rPr>
        <w:t>b) Ministry of Finance;</w:t>
      </w:r>
    </w:p>
    <w:p w14:paraId="652C8886" w14:textId="77777777" w:rsidR="00F579E5" w:rsidRPr="00D66EE5" w:rsidRDefault="00F579E5" w:rsidP="00F579E5">
      <w:pPr>
        <w:pStyle w:val="ListParagraph"/>
        <w:tabs>
          <w:tab w:val="left" w:pos="1134"/>
        </w:tabs>
        <w:ind w:left="1134"/>
        <w:jc w:val="both"/>
        <w:rPr>
          <w:rFonts w:ascii="PermianSerifTypeface" w:hAnsi="PermianSerifTypeface"/>
          <w:lang w:val="en-GB"/>
        </w:rPr>
      </w:pPr>
      <w:r w:rsidRPr="00D66EE5">
        <w:rPr>
          <w:rFonts w:ascii="PermianSerifTypeface" w:hAnsi="PermianSerifTypeface"/>
          <w:lang w:val="en-GB"/>
        </w:rPr>
        <w:t>c) Deposit Guarantee Fund in the banking system;</w:t>
      </w:r>
    </w:p>
    <w:p w14:paraId="3F9FABB2" w14:textId="65E1F41A" w:rsidR="00A142DF" w:rsidRPr="00D66EE5" w:rsidRDefault="00794DE3" w:rsidP="00794DE3">
      <w:pPr>
        <w:pStyle w:val="ListParagraph"/>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6) </w:t>
      </w:r>
      <w:r w:rsidR="00F579E5" w:rsidRPr="00D66EE5">
        <w:rPr>
          <w:rFonts w:ascii="PermianSerifTypeface" w:hAnsi="PermianSerifTypeface"/>
          <w:lang w:val="en-GB"/>
        </w:rPr>
        <w:t xml:space="preserve"> central counterparty, settlement agent, clearing house or system operator</w:t>
      </w:r>
      <w:r w:rsidRPr="00D66EE5">
        <w:rPr>
          <w:rFonts w:ascii="PermianSerifTypeface" w:hAnsi="PermianSerifTypeface"/>
          <w:lang w:val="en-GB"/>
        </w:rPr>
        <w:t>;</w:t>
      </w:r>
    </w:p>
    <w:p w14:paraId="72585028" w14:textId="60850418" w:rsidR="00794DE3" w:rsidRDefault="00794DE3" w:rsidP="00D66EE5">
      <w:pPr>
        <w:pStyle w:val="ListParagraph"/>
        <w:tabs>
          <w:tab w:val="left" w:pos="1134"/>
        </w:tabs>
        <w:ind w:left="1134" w:hanging="425"/>
        <w:jc w:val="both"/>
        <w:rPr>
          <w:rFonts w:ascii="PermianSerifTypeface" w:hAnsi="PermianSerifTypeface"/>
          <w:lang w:val="en-GB"/>
        </w:rPr>
      </w:pPr>
      <w:r w:rsidRPr="00D66EE5">
        <w:rPr>
          <w:rFonts w:ascii="PermianSerifTypeface" w:hAnsi="PermianSerifTypeface"/>
          <w:lang w:val="en-GB"/>
        </w:rPr>
        <w:t>7)  a central depository of financial instruments</w:t>
      </w:r>
      <w:r w:rsidR="00FF64A8">
        <w:rPr>
          <w:rFonts w:ascii="PermianSerifTypeface" w:hAnsi="PermianSerifTypeface"/>
          <w:lang w:val="en-GB"/>
        </w:rPr>
        <w:t>.</w:t>
      </w:r>
    </w:p>
    <w:p w14:paraId="715B4AD0" w14:textId="6B00676C" w:rsidR="00D66EE5" w:rsidRPr="00E9355B" w:rsidRDefault="00D66EE5" w:rsidP="00E9355B">
      <w:pPr>
        <w:pStyle w:val="ListParagraph"/>
        <w:tabs>
          <w:tab w:val="left" w:pos="1134"/>
        </w:tabs>
        <w:ind w:left="709"/>
        <w:jc w:val="both"/>
        <w:rPr>
          <w:rFonts w:ascii="PermianSerifTypeface" w:hAnsi="PermianSerifTypeface"/>
          <w:bCs/>
          <w:i/>
          <w:noProof/>
          <w:sz w:val="16"/>
          <w:szCs w:val="16"/>
          <w:lang w:val="en-GB"/>
        </w:rPr>
      </w:pPr>
      <w:r w:rsidRPr="00D66EE5">
        <w:rPr>
          <w:rFonts w:ascii="PermianSerifTypeface" w:hAnsi="PermianSerifTypeface"/>
          <w:bCs/>
          <w:i/>
          <w:noProof/>
          <w:sz w:val="16"/>
          <w:szCs w:val="16"/>
          <w:lang w:val="en-GB"/>
        </w:rPr>
        <w:t>[Point 4 amended by Decision No 188 of 24 July 2024 of the Executive Board of the National Bank of Moldova]</w:t>
      </w:r>
    </w:p>
    <w:p w14:paraId="6B8AA0C8" w14:textId="6F3C68B9" w:rsidR="00A142DF" w:rsidRPr="00D66EE5" w:rsidRDefault="004E73D0" w:rsidP="007B5DD4">
      <w:pPr>
        <w:pStyle w:val="ListParagraph"/>
        <w:numPr>
          <w:ilvl w:val="0"/>
          <w:numId w:val="6"/>
        </w:numPr>
        <w:tabs>
          <w:tab w:val="left" w:pos="1134"/>
        </w:tabs>
        <w:ind w:left="0" w:firstLine="709"/>
        <w:jc w:val="both"/>
        <w:rPr>
          <w:rFonts w:ascii="PermianSerifTypeface" w:hAnsi="PermianSerifTypeface"/>
          <w:b/>
          <w:lang w:val="en-GB"/>
        </w:rPr>
      </w:pPr>
      <w:r w:rsidRPr="00D66EE5">
        <w:rPr>
          <w:rFonts w:ascii="PermianSerifTypeface" w:hAnsi="PermianSerifTypeface"/>
          <w:lang w:val="en-GB"/>
        </w:rPr>
        <w:t xml:space="preserve">To become the </w:t>
      </w:r>
      <w:r w:rsidR="00794DE3" w:rsidRPr="00D66EE5">
        <w:rPr>
          <w:rFonts w:ascii="PermianSerifTypeface" w:hAnsi="PermianSerifTypeface"/>
          <w:lang w:val="en-GB"/>
        </w:rPr>
        <w:t xml:space="preserve">Single </w:t>
      </w:r>
      <w:r w:rsidRPr="00D66EE5">
        <w:rPr>
          <w:rFonts w:ascii="PermianSerifTypeface" w:hAnsi="PermianSerifTypeface"/>
          <w:lang w:val="en-GB"/>
        </w:rPr>
        <w:t xml:space="preserve">Central Depository’s </w:t>
      </w:r>
      <w:r w:rsidR="00980153" w:rsidRPr="00D66EE5">
        <w:rPr>
          <w:rFonts w:ascii="PermianSerifTypeface" w:hAnsi="PermianSerifTypeface"/>
          <w:lang w:val="en-GB"/>
        </w:rPr>
        <w:t>P</w:t>
      </w:r>
      <w:r w:rsidRPr="00D66EE5">
        <w:rPr>
          <w:rFonts w:ascii="PermianSerifTypeface" w:hAnsi="PermianSerifTypeface"/>
          <w:lang w:val="en-GB"/>
        </w:rPr>
        <w:t xml:space="preserve">articipant, </w:t>
      </w:r>
      <w:r w:rsidR="00980153" w:rsidRPr="00D66EE5">
        <w:rPr>
          <w:rFonts w:ascii="PermianSerifTypeface" w:hAnsi="PermianSerifTypeface"/>
          <w:lang w:val="en-GB"/>
        </w:rPr>
        <w:t>an entity</w:t>
      </w:r>
      <w:r w:rsidRPr="00D66EE5">
        <w:rPr>
          <w:rFonts w:ascii="PermianSerifTypeface" w:hAnsi="PermianSerifTypeface"/>
          <w:lang w:val="en-GB"/>
        </w:rPr>
        <w:t xml:space="preserve"> shall submit to the </w:t>
      </w:r>
      <w:r w:rsidR="00794DE3" w:rsidRPr="00D66EE5">
        <w:rPr>
          <w:rFonts w:ascii="PermianSerifTypeface" w:hAnsi="PermianSerifTypeface"/>
          <w:lang w:val="en-GB"/>
        </w:rPr>
        <w:t xml:space="preserve">Single </w:t>
      </w:r>
      <w:r w:rsidRPr="00D66EE5">
        <w:rPr>
          <w:rFonts w:ascii="PermianSerifTypeface" w:hAnsi="PermianSerifTypeface"/>
          <w:lang w:val="en-GB"/>
        </w:rPr>
        <w:t xml:space="preserve">Central Depository an application, in accordance with the </w:t>
      </w:r>
      <w:r w:rsidR="00980153" w:rsidRPr="00D66EE5">
        <w:rPr>
          <w:rFonts w:ascii="PermianSerifTypeface" w:hAnsi="PermianSerifTypeface"/>
          <w:lang w:val="en-GB"/>
        </w:rPr>
        <w:t>reference form</w:t>
      </w:r>
      <w:r w:rsidRPr="00D66EE5">
        <w:rPr>
          <w:rFonts w:ascii="PermianSerifTypeface" w:hAnsi="PermianSerifTypeface"/>
          <w:lang w:val="en-GB"/>
        </w:rPr>
        <w:t xml:space="preserve"> set out by the </w:t>
      </w:r>
      <w:r w:rsidR="00794DE3" w:rsidRPr="00D66EE5">
        <w:rPr>
          <w:rFonts w:ascii="PermianSerifTypeface" w:hAnsi="PermianSerifTypeface"/>
          <w:lang w:val="en-GB"/>
        </w:rPr>
        <w:t xml:space="preserve">Single </w:t>
      </w:r>
      <w:r w:rsidRPr="00D66EE5">
        <w:rPr>
          <w:rFonts w:ascii="PermianSerifTypeface" w:hAnsi="PermianSerifTypeface"/>
          <w:lang w:val="en-GB"/>
        </w:rPr>
        <w:t>Central Deposit</w:t>
      </w:r>
      <w:r w:rsidR="00980153" w:rsidRPr="00D66EE5">
        <w:rPr>
          <w:rFonts w:ascii="PermianSerifTypeface" w:hAnsi="PermianSerifTypeface"/>
          <w:lang w:val="en-GB"/>
        </w:rPr>
        <w:t>o</w:t>
      </w:r>
      <w:r w:rsidRPr="00D66EE5">
        <w:rPr>
          <w:rFonts w:ascii="PermianSerifTypeface" w:hAnsi="PermianSerifTypeface"/>
          <w:lang w:val="en-GB"/>
        </w:rPr>
        <w:t>ry, enclosing the following documents</w:t>
      </w:r>
      <w:r w:rsidR="00A142DF" w:rsidRPr="00D66EE5">
        <w:rPr>
          <w:rFonts w:ascii="PermianSerifTypeface" w:hAnsi="PermianSerifTypeface"/>
          <w:lang w:val="en-GB"/>
        </w:rPr>
        <w:t>:</w:t>
      </w:r>
    </w:p>
    <w:p w14:paraId="279AA63F" w14:textId="45415FC0" w:rsidR="004E73D0" w:rsidRPr="00D66EE5" w:rsidRDefault="004E73D0" w:rsidP="004E73D0">
      <w:pPr>
        <w:pStyle w:val="ListParagraph"/>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1) </w:t>
      </w:r>
      <w:r w:rsidRPr="00D66EE5">
        <w:rPr>
          <w:rFonts w:ascii="PermianSerifTypeface" w:hAnsi="PermianSerifTypeface"/>
          <w:lang w:val="en-GB"/>
        </w:rPr>
        <w:tab/>
      </w:r>
      <w:r w:rsidR="00792E91" w:rsidRPr="00D66EE5">
        <w:rPr>
          <w:rFonts w:ascii="PermianSerifTypeface" w:hAnsi="PermianSerifTypeface"/>
          <w:lang w:val="en-GB"/>
        </w:rPr>
        <w:t>the</w:t>
      </w:r>
      <w:r w:rsidRPr="00D66EE5">
        <w:rPr>
          <w:rFonts w:ascii="PermianSerifTypeface" w:hAnsi="PermianSerifTypeface"/>
          <w:lang w:val="en-GB"/>
        </w:rPr>
        <w:t xml:space="preserve"> extract from the State Register of Legal Entities, </w:t>
      </w:r>
      <w:r w:rsidR="00005C92" w:rsidRPr="00D66EE5">
        <w:rPr>
          <w:rFonts w:ascii="PermianSerifTypeface" w:hAnsi="PermianSerifTypeface"/>
          <w:lang w:val="en-GB"/>
        </w:rPr>
        <w:t>containing</w:t>
      </w:r>
      <w:r w:rsidRPr="00D66EE5">
        <w:rPr>
          <w:rFonts w:ascii="PermianSerifTypeface" w:hAnsi="PermianSerifTypeface"/>
          <w:lang w:val="en-GB"/>
        </w:rPr>
        <w:t xml:space="preserve"> updated </w:t>
      </w:r>
      <w:r w:rsidR="00005C92" w:rsidRPr="00D66EE5">
        <w:rPr>
          <w:rFonts w:ascii="PermianSerifTypeface" w:hAnsi="PermianSerifTypeface"/>
          <w:lang w:val="en-GB"/>
        </w:rPr>
        <w:t>information</w:t>
      </w:r>
      <w:r w:rsidRPr="00D66EE5">
        <w:rPr>
          <w:rFonts w:ascii="PermianSerifTypeface" w:hAnsi="PermianSerifTypeface"/>
          <w:lang w:val="en-GB"/>
        </w:rPr>
        <w:t xml:space="preserve"> on the applicant;</w:t>
      </w:r>
    </w:p>
    <w:p w14:paraId="72E8902E" w14:textId="2DFAB989" w:rsidR="004E73D0" w:rsidRPr="00D66EE5" w:rsidRDefault="004E73D0" w:rsidP="004E73D0">
      <w:pPr>
        <w:pStyle w:val="ListParagraph"/>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2) </w:t>
      </w:r>
      <w:r w:rsidRPr="00D66EE5">
        <w:rPr>
          <w:rFonts w:ascii="PermianSerifTypeface" w:hAnsi="PermianSerifTypeface"/>
          <w:lang w:val="en-GB"/>
        </w:rPr>
        <w:tab/>
        <w:t>the copy of the</w:t>
      </w:r>
      <w:r w:rsidR="00794DE3" w:rsidRPr="00D66EE5">
        <w:rPr>
          <w:rFonts w:ascii="PermianSerifTypeface" w:hAnsi="PermianSerifTypeface"/>
          <w:lang w:val="en-GB"/>
        </w:rPr>
        <w:t xml:space="preserve"> applicant's</w:t>
      </w:r>
      <w:r w:rsidRPr="00D66EE5">
        <w:rPr>
          <w:rFonts w:ascii="PermianSerifTypeface" w:hAnsi="PermianSerifTypeface"/>
          <w:lang w:val="en-GB"/>
        </w:rPr>
        <w:t xml:space="preserve"> license</w:t>
      </w:r>
      <w:r w:rsidR="00794DE3" w:rsidRPr="00D66EE5">
        <w:rPr>
          <w:rFonts w:ascii="PermianSerifTypeface" w:hAnsi="PermianSerifTypeface"/>
          <w:lang w:val="en-GB"/>
        </w:rPr>
        <w:t>/</w:t>
      </w:r>
      <w:r w:rsidR="00F952A0">
        <w:rPr>
          <w:rFonts w:ascii="PermianSerifTypeface" w:hAnsi="PermianSerifTypeface"/>
        </w:rPr>
        <w:t xml:space="preserve"> </w:t>
      </w:r>
      <w:proofErr w:type="spellStart"/>
      <w:r w:rsidR="00F33A6F" w:rsidRPr="00BD0747">
        <w:rPr>
          <w:rFonts w:ascii="PermianSerifTypeface" w:hAnsi="PermianSerifTypeface"/>
        </w:rPr>
        <w:t>authorization</w:t>
      </w:r>
      <w:proofErr w:type="spellEnd"/>
      <w:r w:rsidR="00F33A6F" w:rsidRPr="00BD0747">
        <w:rPr>
          <w:rFonts w:ascii="PermianSerifTypeface" w:hAnsi="PermianSerifTypeface"/>
        </w:rPr>
        <w:t xml:space="preserve"> certificate</w:t>
      </w:r>
      <w:r w:rsidR="00794DE3" w:rsidRPr="00D66EE5">
        <w:rPr>
          <w:rFonts w:ascii="PermianSerifTypeface" w:hAnsi="PermianSerifTypeface"/>
          <w:lang w:val="en-GB"/>
        </w:rPr>
        <w:t>,</w:t>
      </w:r>
      <w:r w:rsidR="00E9355B">
        <w:rPr>
          <w:rFonts w:ascii="PermianSerifTypeface" w:hAnsi="PermianSerifTypeface"/>
          <w:lang w:val="en-GB"/>
        </w:rPr>
        <w:t xml:space="preserve"> </w:t>
      </w:r>
      <w:r w:rsidR="00794DE3" w:rsidRPr="00D66EE5">
        <w:rPr>
          <w:rFonts w:ascii="PermianSerifTypeface" w:hAnsi="PermianSerifTypeface"/>
          <w:lang w:val="en-GB"/>
        </w:rPr>
        <w:t>issued by the competent authority in the applicant's state</w:t>
      </w:r>
      <w:r w:rsidR="00A25115">
        <w:rPr>
          <w:rFonts w:ascii="PermianSerifTypeface" w:hAnsi="PermianSerifTypeface"/>
          <w:lang w:val="en-GB"/>
        </w:rPr>
        <w:t xml:space="preserve"> of origin</w:t>
      </w:r>
      <w:r w:rsidR="00794DE3" w:rsidRPr="00D66EE5">
        <w:rPr>
          <w:rFonts w:ascii="PermianSerifTypeface" w:hAnsi="PermianSerifTypeface"/>
          <w:lang w:val="en-GB"/>
        </w:rPr>
        <w:t>, held, as the case may be, by the entities established by point 4 subpoints 1)-4), 6) and 7)</w:t>
      </w:r>
      <w:r w:rsidRPr="00D66EE5">
        <w:rPr>
          <w:rFonts w:ascii="PermianSerifTypeface" w:hAnsi="PermianSerifTypeface"/>
          <w:lang w:val="en-GB"/>
        </w:rPr>
        <w:t>;</w:t>
      </w:r>
    </w:p>
    <w:p w14:paraId="5EF037FC" w14:textId="728DAAF2" w:rsidR="004E73D0" w:rsidRPr="00D66EE5" w:rsidRDefault="004E73D0" w:rsidP="004E73D0">
      <w:pPr>
        <w:pStyle w:val="ListParagraph"/>
        <w:tabs>
          <w:tab w:val="left" w:pos="1134"/>
        </w:tabs>
        <w:ind w:left="1134" w:hanging="425"/>
        <w:jc w:val="both"/>
        <w:rPr>
          <w:rFonts w:ascii="PermianSerifTypeface" w:hAnsi="PermianSerifTypeface"/>
          <w:lang w:val="en-GB"/>
        </w:rPr>
      </w:pPr>
      <w:r w:rsidRPr="00D66EE5">
        <w:rPr>
          <w:rFonts w:ascii="PermianSerifTypeface" w:hAnsi="PermianSerifTypeface"/>
          <w:lang w:val="en-GB"/>
        </w:rPr>
        <w:t>3)</w:t>
      </w:r>
      <w:r w:rsidRPr="00D66EE5">
        <w:rPr>
          <w:rFonts w:ascii="PermianSerifTypeface" w:hAnsi="PermianSerifTypeface"/>
          <w:lang w:val="en-GB"/>
        </w:rPr>
        <w:tab/>
        <w:t xml:space="preserve">the </w:t>
      </w:r>
      <w:r w:rsidR="00005C92" w:rsidRPr="00D66EE5">
        <w:rPr>
          <w:rFonts w:ascii="PermianSerifTypeface" w:hAnsi="PermianSerifTypeface"/>
          <w:lang w:val="en-GB"/>
        </w:rPr>
        <w:t xml:space="preserve">application for </w:t>
      </w:r>
      <w:r w:rsidRPr="00D66EE5">
        <w:rPr>
          <w:rFonts w:ascii="PermianSerifTypeface" w:hAnsi="PermianSerifTypeface"/>
          <w:lang w:val="en-GB"/>
        </w:rPr>
        <w:t>request</w:t>
      </w:r>
      <w:r w:rsidR="00005C92" w:rsidRPr="00D66EE5">
        <w:rPr>
          <w:rFonts w:ascii="PermianSerifTypeface" w:hAnsi="PermianSerifTypeface"/>
          <w:lang w:val="en-GB"/>
        </w:rPr>
        <w:t>ing</w:t>
      </w:r>
      <w:r w:rsidRPr="00D66EE5">
        <w:rPr>
          <w:rFonts w:ascii="PermianSerifTypeface" w:hAnsi="PermianSerifTypeface"/>
          <w:lang w:val="en-GB"/>
        </w:rPr>
        <w:t xml:space="preserve"> </w:t>
      </w:r>
      <w:r w:rsidR="00005C92" w:rsidRPr="00D66EE5">
        <w:rPr>
          <w:rFonts w:ascii="PermianSerifTypeface" w:hAnsi="PermianSerifTypeface"/>
          <w:lang w:val="en-GB"/>
        </w:rPr>
        <w:t>the</w:t>
      </w:r>
      <w:r w:rsidRPr="00D66EE5">
        <w:rPr>
          <w:rFonts w:ascii="PermianSerifTypeface" w:hAnsi="PermianSerifTypeface"/>
          <w:lang w:val="en-GB"/>
        </w:rPr>
        <w:t xml:space="preserve"> </w:t>
      </w:r>
      <w:r w:rsidR="007B5DD4" w:rsidRPr="00D66EE5">
        <w:rPr>
          <w:rFonts w:ascii="PermianSerifTypeface" w:hAnsi="PermianSerifTypeface"/>
          <w:lang w:val="en-GB"/>
        </w:rPr>
        <w:t>setting up an</w:t>
      </w:r>
      <w:r w:rsidRPr="00D66EE5">
        <w:rPr>
          <w:rFonts w:ascii="PermianSerifTypeface" w:hAnsi="PermianSerifTypeface"/>
          <w:lang w:val="en-GB"/>
        </w:rPr>
        <w:t xml:space="preserve"> account(s) in the </w:t>
      </w:r>
      <w:r w:rsidR="0082361E" w:rsidRPr="00D66EE5">
        <w:rPr>
          <w:rFonts w:ascii="PermianSerifTypeface" w:hAnsi="PermianSerifTypeface"/>
          <w:lang w:val="en-GB"/>
        </w:rPr>
        <w:t xml:space="preserve">Single </w:t>
      </w:r>
      <w:r w:rsidRPr="00D66EE5">
        <w:rPr>
          <w:rFonts w:ascii="PermianSerifTypeface" w:hAnsi="PermianSerifTypeface"/>
          <w:lang w:val="en-GB"/>
        </w:rPr>
        <w:t>Central Depository;</w:t>
      </w:r>
    </w:p>
    <w:p w14:paraId="40A0A161" w14:textId="7CCDD584" w:rsidR="004E73D0" w:rsidRPr="00D66EE5" w:rsidRDefault="004E73D0" w:rsidP="004E73D0">
      <w:pPr>
        <w:pStyle w:val="ListParagraph"/>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4) </w:t>
      </w:r>
      <w:r w:rsidRPr="00D66EE5">
        <w:rPr>
          <w:rFonts w:ascii="PermianSerifTypeface" w:hAnsi="PermianSerifTypeface"/>
          <w:lang w:val="en-GB"/>
        </w:rPr>
        <w:tab/>
        <w:t xml:space="preserve">the contract between the </w:t>
      </w:r>
      <w:r w:rsidR="0082361E" w:rsidRPr="00D66EE5">
        <w:rPr>
          <w:rFonts w:ascii="PermianSerifTypeface" w:hAnsi="PermianSerifTypeface"/>
          <w:lang w:val="en-GB"/>
        </w:rPr>
        <w:t xml:space="preserve">Single </w:t>
      </w:r>
      <w:r w:rsidRPr="00D66EE5">
        <w:rPr>
          <w:rFonts w:ascii="PermianSerifTypeface" w:hAnsi="PermianSerifTypeface"/>
          <w:lang w:val="en-GB"/>
        </w:rPr>
        <w:t xml:space="preserve">Central </w:t>
      </w:r>
      <w:r w:rsidR="00005C92" w:rsidRPr="00D66EE5">
        <w:rPr>
          <w:rFonts w:ascii="PermianSerifTypeface" w:hAnsi="PermianSerifTypeface"/>
          <w:lang w:val="en-GB"/>
        </w:rPr>
        <w:t>Depository</w:t>
      </w:r>
      <w:r w:rsidRPr="00D66EE5">
        <w:rPr>
          <w:rFonts w:ascii="PermianSerifTypeface" w:hAnsi="PermianSerifTypeface"/>
          <w:lang w:val="en-GB"/>
        </w:rPr>
        <w:t xml:space="preserve"> and the Participant, according to the </w:t>
      </w:r>
      <w:r w:rsidR="00005C92" w:rsidRPr="00D66EE5">
        <w:rPr>
          <w:rFonts w:ascii="PermianSerifTypeface" w:hAnsi="PermianSerifTypeface"/>
          <w:lang w:val="en-GB"/>
        </w:rPr>
        <w:t>reference form</w:t>
      </w:r>
      <w:r w:rsidRPr="00D66EE5">
        <w:rPr>
          <w:rFonts w:ascii="PermianSerifTypeface" w:hAnsi="PermianSerifTypeface"/>
          <w:lang w:val="en-GB"/>
        </w:rPr>
        <w:t xml:space="preserve"> </w:t>
      </w:r>
      <w:r w:rsidR="007B5DD4" w:rsidRPr="00D66EE5">
        <w:rPr>
          <w:rFonts w:ascii="PermianSerifTypeface" w:hAnsi="PermianSerifTypeface"/>
          <w:lang w:val="en-GB"/>
        </w:rPr>
        <w:t>set forth</w:t>
      </w:r>
      <w:r w:rsidRPr="00D66EE5">
        <w:rPr>
          <w:rFonts w:ascii="PermianSerifTypeface" w:hAnsi="PermianSerifTypeface"/>
          <w:lang w:val="en-GB"/>
        </w:rPr>
        <w:t xml:space="preserve"> by the </w:t>
      </w:r>
      <w:r w:rsidR="0082361E" w:rsidRPr="00D66EE5">
        <w:rPr>
          <w:rFonts w:ascii="PermianSerifTypeface" w:hAnsi="PermianSerifTypeface"/>
          <w:lang w:val="en-GB"/>
        </w:rPr>
        <w:t xml:space="preserve">Single </w:t>
      </w:r>
      <w:r w:rsidRPr="00D66EE5">
        <w:rPr>
          <w:rFonts w:ascii="PermianSerifTypeface" w:hAnsi="PermianSerifTypeface"/>
          <w:lang w:val="en-GB"/>
        </w:rPr>
        <w:t>Central Depository, signed by the applicant;</w:t>
      </w:r>
    </w:p>
    <w:p w14:paraId="6D5BD01D" w14:textId="45B9A711" w:rsidR="004E73D0" w:rsidRPr="00D66EE5" w:rsidRDefault="004E73D0" w:rsidP="004E73D0">
      <w:pPr>
        <w:pStyle w:val="ListParagraph"/>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5) </w:t>
      </w:r>
      <w:r w:rsidRPr="00D66EE5">
        <w:rPr>
          <w:rFonts w:ascii="PermianSerifTypeface" w:hAnsi="PermianSerifTypeface"/>
          <w:lang w:val="en-GB"/>
        </w:rPr>
        <w:tab/>
        <w:t xml:space="preserve">the copy of the payment order confirming </w:t>
      </w:r>
      <w:r w:rsidR="007B5DD4" w:rsidRPr="00D66EE5">
        <w:rPr>
          <w:rFonts w:ascii="PermianSerifTypeface" w:hAnsi="PermianSerifTypeface"/>
          <w:lang w:val="en-GB"/>
        </w:rPr>
        <w:t>payment</w:t>
      </w:r>
      <w:r w:rsidRPr="00D66EE5">
        <w:rPr>
          <w:rFonts w:ascii="PermianSerifTypeface" w:hAnsi="PermianSerifTypeface"/>
          <w:lang w:val="en-GB"/>
        </w:rPr>
        <w:t xml:space="preserve"> of the </w:t>
      </w:r>
      <w:r w:rsidR="0082361E" w:rsidRPr="00D66EE5">
        <w:rPr>
          <w:rFonts w:ascii="PermianSerifTypeface" w:hAnsi="PermianSerifTypeface"/>
          <w:lang w:val="en-GB"/>
        </w:rPr>
        <w:t xml:space="preserve">Single </w:t>
      </w:r>
      <w:r w:rsidRPr="00D66EE5">
        <w:rPr>
          <w:rFonts w:ascii="PermianSerifTypeface" w:hAnsi="PermianSerifTypeface"/>
          <w:lang w:val="en-GB"/>
        </w:rPr>
        <w:t>Central Depository</w:t>
      </w:r>
      <w:r w:rsidR="00005C92" w:rsidRPr="00D66EE5">
        <w:rPr>
          <w:rFonts w:ascii="PermianSerifTypeface" w:hAnsi="PermianSerifTypeface"/>
          <w:lang w:val="en-GB"/>
        </w:rPr>
        <w:t>’s</w:t>
      </w:r>
      <w:r w:rsidR="007B5DD4" w:rsidRPr="00D66EE5">
        <w:rPr>
          <w:rFonts w:ascii="PermianSerifTypeface" w:hAnsi="PermianSerifTypeface"/>
          <w:lang w:val="en-GB"/>
        </w:rPr>
        <w:t xml:space="preserve"> participation fee</w:t>
      </w:r>
      <w:r w:rsidRPr="00D66EE5">
        <w:rPr>
          <w:rFonts w:ascii="PermianSerifTypeface" w:hAnsi="PermianSerifTypeface"/>
          <w:lang w:val="en-GB"/>
        </w:rPr>
        <w:t>;</w:t>
      </w:r>
    </w:p>
    <w:p w14:paraId="6F845610" w14:textId="56520A3E" w:rsidR="004E73D0" w:rsidRDefault="004E73D0" w:rsidP="004E73D0">
      <w:pPr>
        <w:pStyle w:val="ListParagraph"/>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6) </w:t>
      </w:r>
      <w:r w:rsidRPr="00D66EE5">
        <w:rPr>
          <w:rFonts w:ascii="PermianSerifTypeface" w:hAnsi="PermianSerifTypeface"/>
          <w:lang w:val="en-GB"/>
        </w:rPr>
        <w:tab/>
        <w:t xml:space="preserve">other documents </w:t>
      </w:r>
      <w:r w:rsidR="007B5DD4" w:rsidRPr="00D66EE5">
        <w:rPr>
          <w:rFonts w:ascii="PermianSerifTypeface" w:hAnsi="PermianSerifTypeface"/>
          <w:lang w:val="en-GB"/>
        </w:rPr>
        <w:t>specified</w:t>
      </w:r>
      <w:r w:rsidRPr="00D66EE5">
        <w:rPr>
          <w:rFonts w:ascii="PermianSerifTypeface" w:hAnsi="PermianSerifTypeface"/>
          <w:lang w:val="en-GB"/>
        </w:rPr>
        <w:t xml:space="preserve"> </w:t>
      </w:r>
      <w:r w:rsidR="00005C92" w:rsidRPr="00D66EE5">
        <w:rPr>
          <w:rFonts w:ascii="PermianSerifTypeface" w:hAnsi="PermianSerifTypeface"/>
          <w:lang w:val="en-GB"/>
        </w:rPr>
        <w:t>in</w:t>
      </w:r>
      <w:r w:rsidRPr="00D66EE5">
        <w:rPr>
          <w:rFonts w:ascii="PermianSerifTypeface" w:hAnsi="PermianSerifTypeface"/>
          <w:lang w:val="en-GB"/>
        </w:rPr>
        <w:t xml:space="preserve"> the </w:t>
      </w:r>
      <w:r w:rsidR="0082361E" w:rsidRPr="00D66EE5">
        <w:rPr>
          <w:rFonts w:ascii="PermianSerifTypeface" w:hAnsi="PermianSerifTypeface"/>
          <w:lang w:val="en-GB"/>
        </w:rPr>
        <w:t xml:space="preserve">Single </w:t>
      </w:r>
      <w:r w:rsidRPr="00D66EE5">
        <w:rPr>
          <w:rFonts w:ascii="PermianSerifTypeface" w:hAnsi="PermianSerifTypeface"/>
          <w:lang w:val="en-GB"/>
        </w:rPr>
        <w:t>Central Depository Rules.</w:t>
      </w:r>
    </w:p>
    <w:p w14:paraId="713A66DF" w14:textId="098C9A5E" w:rsidR="00D66EE5" w:rsidRPr="00E9355B" w:rsidRDefault="00D66EE5" w:rsidP="00E9355B">
      <w:pPr>
        <w:pStyle w:val="ListParagraph"/>
        <w:tabs>
          <w:tab w:val="left" w:pos="1134"/>
        </w:tabs>
        <w:ind w:left="709"/>
        <w:jc w:val="both"/>
        <w:rPr>
          <w:rFonts w:ascii="PermianSerifTypeface" w:hAnsi="PermianSerifTypeface"/>
          <w:bCs/>
          <w:i/>
          <w:noProof/>
          <w:sz w:val="16"/>
          <w:szCs w:val="16"/>
          <w:lang w:val="en-GB"/>
        </w:rPr>
      </w:pPr>
      <w:bookmarkStart w:id="3" w:name="_Hlk178863130"/>
      <w:r w:rsidRPr="00D66EE5">
        <w:rPr>
          <w:rFonts w:ascii="PermianSerifTypeface" w:hAnsi="PermianSerifTypeface"/>
          <w:bCs/>
          <w:i/>
          <w:noProof/>
          <w:sz w:val="16"/>
          <w:szCs w:val="16"/>
          <w:lang w:val="en-GB"/>
        </w:rPr>
        <w:t>[Point 5 amended by Decision No 188 of 24 July 2024 of the Executive Board of the National Bank of Moldova]</w:t>
      </w:r>
      <w:bookmarkEnd w:id="3"/>
    </w:p>
    <w:p w14:paraId="3505E525" w14:textId="0155A796" w:rsidR="00A142DF" w:rsidRPr="00D66EE5" w:rsidRDefault="007B5DD4" w:rsidP="007B5DD4">
      <w:pPr>
        <w:pStyle w:val="ListParagraph"/>
        <w:numPr>
          <w:ilvl w:val="0"/>
          <w:numId w:val="6"/>
        </w:numPr>
        <w:tabs>
          <w:tab w:val="left" w:pos="1134"/>
        </w:tabs>
        <w:ind w:left="0" w:firstLine="709"/>
        <w:jc w:val="both"/>
        <w:rPr>
          <w:rFonts w:ascii="PermianSerifTypeface" w:hAnsi="PermianSerifTypeface"/>
          <w:lang w:val="en-GB"/>
        </w:rPr>
      </w:pPr>
      <w:bookmarkStart w:id="4" w:name="_Ref517258165"/>
      <w:r w:rsidRPr="00D66EE5">
        <w:rPr>
          <w:rFonts w:ascii="PermianSerifTypeface" w:hAnsi="PermianSerifTypeface"/>
          <w:lang w:val="en-GB"/>
        </w:rPr>
        <w:t xml:space="preserve">The </w:t>
      </w:r>
      <w:r w:rsidR="00A142DF" w:rsidRPr="00D66EE5">
        <w:rPr>
          <w:rFonts w:ascii="PermianSerifTypeface" w:hAnsi="PermianSerifTypeface"/>
          <w:lang w:val="en-GB"/>
        </w:rPr>
        <w:t>Participant</w:t>
      </w:r>
      <w:r w:rsidRPr="00D66EE5">
        <w:rPr>
          <w:rFonts w:ascii="PermianSerifTypeface" w:hAnsi="PermianSerifTypeface"/>
          <w:lang w:val="en-GB"/>
        </w:rPr>
        <w:t xml:space="preserve"> is required to comply with the following requirements</w:t>
      </w:r>
      <w:r w:rsidR="00A142DF" w:rsidRPr="00D66EE5">
        <w:rPr>
          <w:rFonts w:ascii="PermianSerifTypeface" w:hAnsi="PermianSerifTypeface"/>
          <w:lang w:val="en-GB"/>
        </w:rPr>
        <w:t>:</w:t>
      </w:r>
      <w:bookmarkEnd w:id="4"/>
    </w:p>
    <w:p w14:paraId="6B81E8EF" w14:textId="2DFE73A7" w:rsidR="00FB1865" w:rsidRPr="00D66EE5" w:rsidRDefault="00737161" w:rsidP="003B702F">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to</w:t>
      </w:r>
      <w:r w:rsidR="00FB1865" w:rsidRPr="00D66EE5">
        <w:rPr>
          <w:rFonts w:ascii="PermianSerifTypeface" w:hAnsi="PermianSerifTypeface"/>
          <w:lang w:val="en-GB"/>
        </w:rPr>
        <w:t xml:space="preserve"> meet </w:t>
      </w:r>
      <w:r w:rsidR="00B723AF" w:rsidRPr="00D66EE5">
        <w:rPr>
          <w:rFonts w:ascii="PermianSerifTypeface" w:hAnsi="PermianSerifTypeface"/>
          <w:lang w:val="en-GB"/>
        </w:rPr>
        <w:t xml:space="preserve">specified </w:t>
      </w:r>
      <w:r w:rsidR="00FB1865" w:rsidRPr="00D66EE5">
        <w:rPr>
          <w:rFonts w:ascii="PermianSerifTypeface" w:hAnsi="PermianSerifTypeface"/>
          <w:lang w:val="en-GB"/>
        </w:rPr>
        <w:t>technical requirements (the minimum hardware and software configuration</w:t>
      </w:r>
      <w:r w:rsidR="00B723AF" w:rsidRPr="00D66EE5">
        <w:rPr>
          <w:rFonts w:ascii="PermianSerifTypeface" w:hAnsi="PermianSerifTypeface"/>
          <w:lang w:val="en-GB"/>
        </w:rPr>
        <w:t>s</w:t>
      </w:r>
      <w:r w:rsidR="00FB1865" w:rsidRPr="00D66EE5">
        <w:rPr>
          <w:rFonts w:ascii="PermianSerifTypeface" w:hAnsi="PermianSerifTypeface"/>
          <w:lang w:val="en-GB"/>
        </w:rPr>
        <w:t xml:space="preserve"> according to the </w:t>
      </w:r>
      <w:r w:rsidR="0082361E" w:rsidRPr="00D66EE5">
        <w:rPr>
          <w:rFonts w:ascii="PermianSerifTypeface" w:hAnsi="PermianSerifTypeface"/>
          <w:lang w:val="en-GB"/>
        </w:rPr>
        <w:t xml:space="preserve">Single </w:t>
      </w:r>
      <w:r w:rsidR="00FB1865" w:rsidRPr="00D66EE5">
        <w:rPr>
          <w:rFonts w:ascii="PermianSerifTypeface" w:hAnsi="PermianSerifTypeface"/>
          <w:lang w:val="en-GB"/>
        </w:rPr>
        <w:t xml:space="preserve">Central Depository's specifications), in particular for running the </w:t>
      </w:r>
      <w:r w:rsidR="0082361E" w:rsidRPr="00D66EE5">
        <w:rPr>
          <w:rFonts w:ascii="PermianSerifTypeface" w:hAnsi="PermianSerifTypeface"/>
          <w:lang w:val="en-GB"/>
        </w:rPr>
        <w:t xml:space="preserve">Single </w:t>
      </w:r>
      <w:r w:rsidR="00FB1865" w:rsidRPr="00D66EE5">
        <w:rPr>
          <w:rFonts w:ascii="PermianSerifTypeface" w:hAnsi="PermianSerifTypeface"/>
          <w:lang w:val="en-GB"/>
        </w:rPr>
        <w:t>Central Depository Client application;</w:t>
      </w:r>
    </w:p>
    <w:p w14:paraId="038DB707" w14:textId="64188F05" w:rsidR="00B723AF" w:rsidRPr="00D66EE5" w:rsidRDefault="00737161" w:rsidP="003B702F">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to</w:t>
      </w:r>
      <w:r w:rsidR="00B723AF" w:rsidRPr="00D66EE5">
        <w:rPr>
          <w:rFonts w:ascii="PermianSerifTypeface" w:hAnsi="PermianSerifTypeface"/>
          <w:lang w:val="en-GB"/>
        </w:rPr>
        <w:t xml:space="preserve"> request in writing the registration of at least two users in order to perform operations in the </w:t>
      </w:r>
      <w:r w:rsidR="0082361E" w:rsidRPr="00D66EE5">
        <w:rPr>
          <w:rFonts w:ascii="PermianSerifTypeface" w:hAnsi="PermianSerifTypeface"/>
          <w:lang w:val="en-GB"/>
        </w:rPr>
        <w:t xml:space="preserve">Single </w:t>
      </w:r>
      <w:r w:rsidR="00B723AF" w:rsidRPr="00D66EE5">
        <w:rPr>
          <w:rFonts w:ascii="PermianSerifTypeface" w:hAnsi="PermianSerifTypeface"/>
          <w:lang w:val="en-GB"/>
        </w:rPr>
        <w:t xml:space="preserve">Central Depository system, in accordance with the </w:t>
      </w:r>
      <w:r w:rsidR="00005C92" w:rsidRPr="00D66EE5">
        <w:rPr>
          <w:rFonts w:ascii="PermianSerifTypeface" w:hAnsi="PermianSerifTypeface"/>
          <w:lang w:val="en-GB"/>
        </w:rPr>
        <w:t>reference form</w:t>
      </w:r>
      <w:r w:rsidR="00B723AF" w:rsidRPr="00D66EE5">
        <w:rPr>
          <w:rFonts w:ascii="PermianSerifTypeface" w:hAnsi="PermianSerifTypeface"/>
          <w:lang w:val="en-GB"/>
        </w:rPr>
        <w:t xml:space="preserve"> </w:t>
      </w:r>
      <w:r w:rsidRPr="00D66EE5">
        <w:rPr>
          <w:rFonts w:ascii="PermianSerifTypeface" w:hAnsi="PermianSerifTypeface"/>
          <w:lang w:val="en-GB"/>
        </w:rPr>
        <w:t>provided</w:t>
      </w:r>
      <w:r w:rsidR="00B723AF" w:rsidRPr="00D66EE5">
        <w:rPr>
          <w:rFonts w:ascii="PermianSerifTypeface" w:hAnsi="PermianSerifTypeface"/>
          <w:lang w:val="en-GB"/>
        </w:rPr>
        <w:t xml:space="preserve"> by the </w:t>
      </w:r>
      <w:r w:rsidR="0082361E" w:rsidRPr="00D66EE5">
        <w:rPr>
          <w:rFonts w:ascii="PermianSerifTypeface" w:hAnsi="PermianSerifTypeface"/>
          <w:lang w:val="en-GB"/>
        </w:rPr>
        <w:t xml:space="preserve">Single </w:t>
      </w:r>
      <w:r w:rsidR="00B723AF" w:rsidRPr="00D66EE5">
        <w:rPr>
          <w:rFonts w:ascii="PermianSerifTypeface" w:hAnsi="PermianSerifTypeface"/>
          <w:lang w:val="en-GB"/>
        </w:rPr>
        <w:t>Central Deposit</w:t>
      </w:r>
      <w:r w:rsidR="00005C92" w:rsidRPr="00D66EE5">
        <w:rPr>
          <w:rFonts w:ascii="PermianSerifTypeface" w:hAnsi="PermianSerifTypeface"/>
          <w:lang w:val="en-GB"/>
        </w:rPr>
        <w:t>o</w:t>
      </w:r>
      <w:r w:rsidR="00B723AF" w:rsidRPr="00D66EE5">
        <w:rPr>
          <w:rFonts w:ascii="PermianSerifTypeface" w:hAnsi="PermianSerifTypeface"/>
          <w:lang w:val="en-GB"/>
        </w:rPr>
        <w:t>ry;</w:t>
      </w:r>
    </w:p>
    <w:p w14:paraId="61DFD4C2" w14:textId="0B2A896C" w:rsidR="00B723AF" w:rsidRPr="00D66EE5" w:rsidRDefault="00737161" w:rsidP="003B702F">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to</w:t>
      </w:r>
      <w:r w:rsidR="00B723AF" w:rsidRPr="00D66EE5">
        <w:rPr>
          <w:rFonts w:ascii="PermianSerifTypeface" w:hAnsi="PermianSerifTypeface"/>
          <w:lang w:val="en-GB"/>
        </w:rPr>
        <w:t xml:space="preserve"> ensure segregation of functions in the conduct of operations in t</w:t>
      </w:r>
      <w:r w:rsidR="00005C92" w:rsidRPr="00D66EE5">
        <w:rPr>
          <w:rFonts w:ascii="PermianSerifTypeface" w:hAnsi="PermianSerifTypeface"/>
          <w:lang w:val="en-GB"/>
        </w:rPr>
        <w:t xml:space="preserve">he </w:t>
      </w:r>
      <w:r w:rsidR="0082361E" w:rsidRPr="00D66EE5">
        <w:rPr>
          <w:rFonts w:ascii="PermianSerifTypeface" w:hAnsi="PermianSerifTypeface"/>
          <w:lang w:val="en-GB"/>
        </w:rPr>
        <w:t xml:space="preserve">Single </w:t>
      </w:r>
      <w:r w:rsidR="00005C92" w:rsidRPr="00D66EE5">
        <w:rPr>
          <w:rFonts w:ascii="PermianSerifTypeface" w:hAnsi="PermianSerifTypeface"/>
          <w:lang w:val="en-GB"/>
        </w:rPr>
        <w:t>Central Depository S</w:t>
      </w:r>
      <w:r w:rsidR="00B723AF" w:rsidRPr="00D66EE5">
        <w:rPr>
          <w:rFonts w:ascii="PermianSerifTypeface" w:hAnsi="PermianSerifTypeface"/>
          <w:lang w:val="en-GB"/>
        </w:rPr>
        <w:t xml:space="preserve">ystem, as required by the </w:t>
      </w:r>
      <w:r w:rsidR="0082361E" w:rsidRPr="00D66EE5">
        <w:rPr>
          <w:rFonts w:ascii="PermianSerifTypeface" w:hAnsi="PermianSerifTypeface"/>
          <w:lang w:val="en-GB"/>
        </w:rPr>
        <w:t xml:space="preserve">Single </w:t>
      </w:r>
      <w:r w:rsidR="00B723AF" w:rsidRPr="00D66EE5">
        <w:rPr>
          <w:rFonts w:ascii="PermianSerifTypeface" w:hAnsi="PermianSerifTypeface"/>
          <w:lang w:val="en-GB"/>
        </w:rPr>
        <w:t>Central Depository Rules;</w:t>
      </w:r>
    </w:p>
    <w:p w14:paraId="087465DC" w14:textId="76F6E472" w:rsidR="0082361E" w:rsidRPr="00D66EE5" w:rsidRDefault="0082361E" w:rsidP="003B702F">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lastRenderedPageBreak/>
        <w:t xml:space="preserve">to ensure in the </w:t>
      </w:r>
      <w:r w:rsidR="00A659F2" w:rsidRPr="00A659F2">
        <w:rPr>
          <w:rFonts w:ascii="PermianSerifTypeface" w:hAnsi="PermianSerifTypeface"/>
          <w:lang w:val="en-GB"/>
        </w:rPr>
        <w:t>Single Central Depository System</w:t>
      </w:r>
      <w:r w:rsidRPr="00D66EE5">
        <w:rPr>
          <w:rFonts w:ascii="PermianSerifTypeface" w:hAnsi="PermianSerifTypeface"/>
          <w:lang w:val="en-GB"/>
        </w:rPr>
        <w:t xml:space="preserve">, within the </w:t>
      </w:r>
      <w:r w:rsidR="008B4170" w:rsidRPr="00D66EE5">
        <w:rPr>
          <w:rFonts w:ascii="PermianSerifTypeface" w:hAnsi="PermianSerifTypeface"/>
          <w:lang w:val="en-GB"/>
        </w:rPr>
        <w:t>t</w:t>
      </w:r>
      <w:r w:rsidR="008B4170">
        <w:rPr>
          <w:rFonts w:ascii="PermianSerifTypeface" w:hAnsi="PermianSerifTypeface"/>
          <w:lang w:val="en-GB"/>
        </w:rPr>
        <w:t>ime limit</w:t>
      </w:r>
      <w:r w:rsidR="008B4170" w:rsidRPr="00D66EE5">
        <w:rPr>
          <w:rFonts w:ascii="PermianSerifTypeface" w:hAnsi="PermianSerifTypeface"/>
          <w:lang w:val="en-GB"/>
        </w:rPr>
        <w:t xml:space="preserve"> </w:t>
      </w:r>
      <w:r w:rsidR="00A25115">
        <w:rPr>
          <w:rFonts w:ascii="PermianSerifTypeface" w:hAnsi="PermianSerifTypeface"/>
          <w:lang w:val="en-GB"/>
        </w:rPr>
        <w:t>set out in</w:t>
      </w:r>
      <w:r w:rsidR="00A25115" w:rsidRPr="00D66EE5">
        <w:rPr>
          <w:rFonts w:ascii="PermianSerifTypeface" w:hAnsi="PermianSerifTypeface"/>
          <w:lang w:val="en-GB"/>
        </w:rPr>
        <w:t xml:space="preserve"> </w:t>
      </w:r>
      <w:r w:rsidRPr="00D66EE5">
        <w:rPr>
          <w:rFonts w:ascii="PermianSerifTypeface" w:hAnsi="PermianSerifTypeface"/>
          <w:lang w:val="en-GB"/>
        </w:rPr>
        <w:t>in the Single Central Depository Rules, the individual segregation of clients who hold:</w:t>
      </w:r>
    </w:p>
    <w:p w14:paraId="398BAFED" w14:textId="4010D13F" w:rsidR="00B723AF" w:rsidRPr="00D66EE5" w:rsidRDefault="0082361E" w:rsidP="00F952A0">
      <w:pPr>
        <w:pStyle w:val="ListParagraph"/>
        <w:numPr>
          <w:ilvl w:val="2"/>
          <w:numId w:val="6"/>
        </w:numPr>
        <w:tabs>
          <w:tab w:val="left" w:pos="1134"/>
        </w:tabs>
        <w:ind w:hanging="181"/>
        <w:jc w:val="both"/>
        <w:rPr>
          <w:rFonts w:ascii="PermianSerifTypeface" w:hAnsi="PermianSerifTypeface"/>
          <w:lang w:val="en-GB"/>
        </w:rPr>
      </w:pPr>
      <w:r w:rsidRPr="00D66EE5">
        <w:rPr>
          <w:rFonts w:ascii="PermianSerifTypeface" w:hAnsi="PermianSerifTypeface"/>
          <w:lang w:val="en-GB"/>
        </w:rPr>
        <w:t>securities issued by banks</w:t>
      </w:r>
      <w:r w:rsidR="00B723AF" w:rsidRPr="00D66EE5">
        <w:rPr>
          <w:rFonts w:ascii="PermianSerifTypeface" w:hAnsi="PermianSerifTypeface"/>
          <w:lang w:val="en-GB"/>
        </w:rPr>
        <w:t>;</w:t>
      </w:r>
    </w:p>
    <w:p w14:paraId="60383507" w14:textId="4C039DFB" w:rsidR="00EB5046" w:rsidRPr="00D66EE5" w:rsidRDefault="00EB5046" w:rsidP="00EB5046">
      <w:pPr>
        <w:tabs>
          <w:tab w:val="left" w:pos="1134"/>
        </w:tabs>
        <w:ind w:left="1843"/>
        <w:jc w:val="both"/>
        <w:rPr>
          <w:rFonts w:ascii="PermianSerifTypeface" w:hAnsi="PermianSerifTypeface"/>
          <w:lang w:val="en-GB"/>
        </w:rPr>
      </w:pPr>
      <w:r w:rsidRPr="00D66EE5">
        <w:rPr>
          <w:rFonts w:ascii="PermianSerifTypeface" w:hAnsi="PermianSerifTypeface"/>
          <w:lang w:val="en-GB"/>
        </w:rPr>
        <w:t>b) securities issued by insurance or reinsurance companies;</w:t>
      </w:r>
    </w:p>
    <w:p w14:paraId="41D0863E" w14:textId="78A6D0AA" w:rsidR="000325B4" w:rsidRDefault="000325B4" w:rsidP="00D66EE5">
      <w:pPr>
        <w:tabs>
          <w:tab w:val="left" w:pos="851"/>
        </w:tabs>
        <w:ind w:left="1134" w:hanging="425"/>
        <w:jc w:val="both"/>
        <w:rPr>
          <w:rFonts w:ascii="PermianSerifTypeface" w:hAnsi="PermianSerifTypeface"/>
          <w:lang w:val="en-GB"/>
        </w:rPr>
      </w:pPr>
      <w:r w:rsidRPr="00D66EE5">
        <w:rPr>
          <w:rFonts w:ascii="PermianSerifTypeface" w:hAnsi="PermianSerifTypeface"/>
          <w:lang w:val="en-GB"/>
        </w:rPr>
        <w:t>4</w:t>
      </w:r>
      <w:r w:rsidRPr="00D66EE5">
        <w:rPr>
          <w:rFonts w:ascii="Calibri" w:hAnsi="Calibri" w:cs="Calibri"/>
          <w:lang w:val="en-GB"/>
        </w:rPr>
        <w:t>¹</w:t>
      </w:r>
      <w:r w:rsidRPr="00D66EE5">
        <w:rPr>
          <w:rFonts w:ascii="PermianSerifTypeface" w:hAnsi="PermianSerifTypeface"/>
          <w:lang w:val="en-GB"/>
        </w:rPr>
        <w:t>)</w:t>
      </w:r>
      <w:r w:rsidR="00D66EE5">
        <w:rPr>
          <w:rFonts w:ascii="PermianSerifTypeface" w:hAnsi="PermianSerifTypeface"/>
          <w:lang w:val="en-GB"/>
        </w:rPr>
        <w:t xml:space="preserve"> </w:t>
      </w:r>
      <w:r w:rsidRPr="00D66EE5">
        <w:rPr>
          <w:rFonts w:ascii="PermianSerifTypeface" w:hAnsi="PermianSerifTypeface"/>
          <w:lang w:val="en-GB"/>
        </w:rPr>
        <w:t xml:space="preserve">to ensure, upon opening the omnibus account, the record of the clients' rights over the securities within their own systems and internal registers, for the period </w:t>
      </w:r>
      <w:r w:rsidR="00A25115">
        <w:rPr>
          <w:rFonts w:ascii="PermianSerifTypeface" w:hAnsi="PermianSerifTypeface"/>
          <w:lang w:val="en-GB"/>
        </w:rPr>
        <w:t>during</w:t>
      </w:r>
      <w:r w:rsidR="00A25115" w:rsidRPr="00D66EE5">
        <w:rPr>
          <w:rFonts w:ascii="PermianSerifTypeface" w:hAnsi="PermianSerifTypeface"/>
          <w:lang w:val="en-GB"/>
        </w:rPr>
        <w:t xml:space="preserve"> </w:t>
      </w:r>
      <w:r w:rsidRPr="00D66EE5">
        <w:rPr>
          <w:rFonts w:ascii="PermianSerifTypeface" w:hAnsi="PermianSerifTypeface"/>
          <w:lang w:val="en-GB"/>
        </w:rPr>
        <w:t>which the securities are held on the accounts in the respective systems and internal registers;</w:t>
      </w:r>
    </w:p>
    <w:p w14:paraId="2D673631" w14:textId="7F796E4D" w:rsidR="00D66EE5" w:rsidRPr="00E9355B" w:rsidRDefault="00D66EE5" w:rsidP="00E9355B">
      <w:pPr>
        <w:jc w:val="both"/>
        <w:rPr>
          <w:rFonts w:ascii="PermianSerifTypeface" w:hAnsi="PermianSerifTypeface"/>
          <w:i/>
          <w:color w:val="808080"/>
          <w:sz w:val="16"/>
          <w:szCs w:val="16"/>
          <w:lang w:val="en-GB"/>
        </w:rPr>
      </w:pPr>
      <w:r w:rsidRPr="00D66EE5">
        <w:rPr>
          <w:rFonts w:ascii="PermianSerifTypeface" w:hAnsi="PermianSerifTypeface"/>
          <w:bCs/>
          <w:i/>
          <w:noProof/>
          <w:sz w:val="18"/>
          <w:szCs w:val="18"/>
          <w:lang w:val="en-GB"/>
        </w:rPr>
        <w:t xml:space="preserve">                 </w:t>
      </w:r>
      <w:r w:rsidRPr="00D66EE5">
        <w:rPr>
          <w:rFonts w:ascii="PermianSerifTypeface" w:hAnsi="PermianSerifTypeface"/>
          <w:bCs/>
          <w:i/>
          <w:noProof/>
          <w:sz w:val="16"/>
          <w:szCs w:val="16"/>
          <w:lang w:val="en-GB"/>
        </w:rPr>
        <w:t>[Subpoint 4</w:t>
      </w:r>
      <w:r w:rsidRPr="00D66EE5">
        <w:rPr>
          <w:rFonts w:ascii="PermianSerifTypeface" w:hAnsi="PermianSerifTypeface"/>
          <w:bCs/>
          <w:i/>
          <w:noProof/>
          <w:sz w:val="16"/>
          <w:szCs w:val="16"/>
          <w:vertAlign w:val="superscript"/>
          <w:lang w:val="en-GB"/>
        </w:rPr>
        <w:t>1</w:t>
      </w:r>
      <w:r w:rsidRPr="00D66EE5">
        <w:rPr>
          <w:rFonts w:ascii="PermianSerifTypeface" w:hAnsi="PermianSerifTypeface"/>
          <w:bCs/>
          <w:i/>
          <w:noProof/>
          <w:sz w:val="16"/>
          <w:szCs w:val="16"/>
          <w:lang w:val="en-GB"/>
        </w:rPr>
        <w:t xml:space="preserve"> included</w:t>
      </w:r>
      <w:r w:rsidRPr="00D66EE5">
        <w:rPr>
          <w:rFonts w:ascii="PermianSerifTypeface" w:hAnsi="PermianSerifTypeface"/>
          <w:i/>
          <w:color w:val="808080"/>
          <w:sz w:val="16"/>
          <w:szCs w:val="16"/>
          <w:lang w:val="en-GB"/>
        </w:rPr>
        <w:t xml:space="preserve"> </w:t>
      </w:r>
      <w:r w:rsidRPr="00D66EE5">
        <w:rPr>
          <w:rFonts w:ascii="PermianSerifTypeface" w:hAnsi="PermianSerifTypeface"/>
          <w:bCs/>
          <w:i/>
          <w:noProof/>
          <w:sz w:val="16"/>
          <w:szCs w:val="16"/>
          <w:lang w:val="en-GB"/>
        </w:rPr>
        <w:t>by Decision No 188 of 24 July 2024 of the Executive Board of the National Bank of Moldova]</w:t>
      </w:r>
    </w:p>
    <w:p w14:paraId="67570EA8" w14:textId="3CABA228" w:rsidR="000325B4" w:rsidRDefault="000325B4" w:rsidP="00D66EE5">
      <w:pPr>
        <w:tabs>
          <w:tab w:val="left" w:pos="1134"/>
        </w:tabs>
        <w:ind w:left="1134" w:hanging="425"/>
        <w:jc w:val="both"/>
        <w:rPr>
          <w:rFonts w:ascii="PermianSerifTypeface" w:hAnsi="PermianSerifTypeface"/>
          <w:lang w:val="en-GB"/>
        </w:rPr>
      </w:pPr>
      <w:r w:rsidRPr="00D66EE5">
        <w:rPr>
          <w:rFonts w:ascii="PermianSerifTypeface" w:hAnsi="PermianSerifTypeface"/>
          <w:lang w:val="en-GB"/>
        </w:rPr>
        <w:t>4</w:t>
      </w:r>
      <w:r w:rsidRPr="00D66EE5">
        <w:rPr>
          <w:rFonts w:ascii="Calibri" w:hAnsi="Calibri" w:cs="Calibri"/>
          <w:lang w:val="en-GB"/>
        </w:rPr>
        <w:t>²</w:t>
      </w:r>
      <w:r w:rsidRPr="00D66EE5">
        <w:rPr>
          <w:rFonts w:ascii="PermianSerifTypeface" w:hAnsi="PermianSerifTypeface"/>
          <w:lang w:val="en-GB"/>
        </w:rPr>
        <w:t xml:space="preserve">) without prejudice to the provision of subpoint 4), to offer its customers at least the choice between omnibus customer segregation and individual customer segregation and to inform them of the costs and risks associated with each option, </w:t>
      </w:r>
      <w:r w:rsidRPr="00B129A9">
        <w:rPr>
          <w:rFonts w:ascii="PermianSerifTypeface" w:hAnsi="PermianSerifTypeface"/>
          <w:lang w:val="en-GB"/>
        </w:rPr>
        <w:t>unless the omnibus segregation of customers</w:t>
      </w:r>
      <w:r w:rsidR="004E2036">
        <w:rPr>
          <w:rFonts w:ascii="PermianSerifTypeface" w:hAnsi="PermianSerifTypeface"/>
          <w:lang w:val="en-GB"/>
        </w:rPr>
        <w:t xml:space="preserve"> is </w:t>
      </w:r>
      <w:r w:rsidR="004E2036" w:rsidRPr="00B129A9">
        <w:rPr>
          <w:rFonts w:ascii="PermianSerifTypeface" w:hAnsi="PermianSerifTypeface"/>
          <w:lang w:val="en-GB"/>
        </w:rPr>
        <w:t>establishe</w:t>
      </w:r>
      <w:r w:rsidR="004E2036">
        <w:rPr>
          <w:rFonts w:ascii="PermianSerifTypeface" w:hAnsi="PermianSerifTypeface"/>
          <w:lang w:val="en-GB"/>
        </w:rPr>
        <w:t>d by</w:t>
      </w:r>
      <w:r w:rsidR="004E2036" w:rsidRPr="00B129A9">
        <w:rPr>
          <w:rFonts w:ascii="PermianSerifTypeface" w:hAnsi="PermianSerifTypeface"/>
          <w:lang w:val="en-GB"/>
        </w:rPr>
        <w:t xml:space="preserve"> law</w:t>
      </w:r>
      <w:r w:rsidRPr="00B129A9">
        <w:rPr>
          <w:rFonts w:ascii="PermianSerifTypeface" w:hAnsi="PermianSerifTypeface"/>
          <w:lang w:val="en-GB"/>
        </w:rPr>
        <w:t>;</w:t>
      </w:r>
    </w:p>
    <w:p w14:paraId="2C956D9F" w14:textId="3D3BC470" w:rsidR="00D66EE5" w:rsidRPr="00D66EE5" w:rsidRDefault="00D66EE5" w:rsidP="00D66EE5">
      <w:pPr>
        <w:tabs>
          <w:tab w:val="left" w:pos="1134"/>
        </w:tabs>
        <w:ind w:left="1134" w:hanging="425"/>
        <w:jc w:val="both"/>
        <w:rPr>
          <w:rFonts w:ascii="PermianSerifTypeface" w:hAnsi="PermianSerifTypeface"/>
          <w:bCs/>
          <w:i/>
          <w:noProof/>
          <w:sz w:val="16"/>
          <w:szCs w:val="16"/>
          <w:lang w:val="en-GB"/>
        </w:rPr>
      </w:pPr>
      <w:r w:rsidRPr="00D66EE5">
        <w:rPr>
          <w:rFonts w:ascii="PermianSerifTypeface" w:hAnsi="PermianSerifTypeface"/>
          <w:bCs/>
          <w:i/>
          <w:noProof/>
          <w:sz w:val="16"/>
          <w:szCs w:val="16"/>
          <w:lang w:val="en-GB"/>
        </w:rPr>
        <w:t>[Subpoint 4</w:t>
      </w:r>
      <w:r w:rsidRPr="00D66EE5">
        <w:rPr>
          <w:rFonts w:ascii="PermianSerifTypeface" w:hAnsi="PermianSerifTypeface"/>
          <w:bCs/>
          <w:i/>
          <w:noProof/>
          <w:sz w:val="16"/>
          <w:szCs w:val="16"/>
          <w:vertAlign w:val="superscript"/>
          <w:lang w:val="en-GB"/>
        </w:rPr>
        <w:t>2</w:t>
      </w:r>
      <w:r w:rsidRPr="00D66EE5">
        <w:rPr>
          <w:rFonts w:ascii="PermianSerifTypeface" w:hAnsi="PermianSerifTypeface"/>
          <w:bCs/>
          <w:i/>
          <w:noProof/>
          <w:sz w:val="16"/>
          <w:szCs w:val="16"/>
          <w:lang w:val="en-GB"/>
        </w:rPr>
        <w:t xml:space="preserve"> included by Decision No 188 of 24 July 2024 of the Executive Board of the National Bank of Moldova]</w:t>
      </w:r>
    </w:p>
    <w:p w14:paraId="2A5BAE71" w14:textId="1C8874EB" w:rsidR="000B1842" w:rsidRDefault="000B1842" w:rsidP="003B702F">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other requirements set out in 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Depository's Rules and Procedures.</w:t>
      </w:r>
    </w:p>
    <w:p w14:paraId="39FA2C25" w14:textId="3F7CF606" w:rsidR="00D66EE5" w:rsidRPr="00D66EE5" w:rsidRDefault="00D66EE5" w:rsidP="00D66EE5">
      <w:pPr>
        <w:pStyle w:val="ListParagraph"/>
        <w:tabs>
          <w:tab w:val="left" w:pos="1134"/>
        </w:tabs>
        <w:ind w:left="1134"/>
        <w:jc w:val="both"/>
        <w:rPr>
          <w:rFonts w:ascii="PermianSerifTypeface" w:hAnsi="PermianSerifTypeface"/>
          <w:bCs/>
          <w:i/>
          <w:noProof/>
          <w:sz w:val="16"/>
          <w:szCs w:val="16"/>
          <w:lang w:val="en-GB"/>
        </w:rPr>
      </w:pPr>
      <w:bookmarkStart w:id="5" w:name="_Hlk178863190"/>
      <w:r w:rsidRPr="00D66EE5">
        <w:rPr>
          <w:rFonts w:ascii="PermianSerifTypeface" w:hAnsi="PermianSerifTypeface"/>
          <w:bCs/>
          <w:i/>
          <w:noProof/>
          <w:sz w:val="16"/>
          <w:szCs w:val="16"/>
          <w:lang w:val="en-GB"/>
        </w:rPr>
        <w:t xml:space="preserve">[Point </w:t>
      </w:r>
      <w:r w:rsidR="00F65200">
        <w:rPr>
          <w:rFonts w:ascii="PermianSerifTypeface" w:hAnsi="PermianSerifTypeface"/>
          <w:bCs/>
          <w:i/>
          <w:noProof/>
          <w:sz w:val="16"/>
          <w:szCs w:val="16"/>
          <w:lang w:val="en-GB"/>
        </w:rPr>
        <w:t>6</w:t>
      </w:r>
      <w:r w:rsidRPr="00D66EE5">
        <w:rPr>
          <w:rFonts w:ascii="PermianSerifTypeface" w:hAnsi="PermianSerifTypeface"/>
          <w:bCs/>
          <w:i/>
          <w:noProof/>
          <w:sz w:val="16"/>
          <w:szCs w:val="16"/>
          <w:lang w:val="en-GB"/>
        </w:rPr>
        <w:t xml:space="preserve"> amended by Decision No 188 of 24 July 2024 of the Executive Board of the National Bank of Moldova]</w:t>
      </w:r>
      <w:bookmarkEnd w:id="5"/>
    </w:p>
    <w:p w14:paraId="0229EDE1" w14:textId="1DF13B5F" w:rsidR="003A0C40" w:rsidRDefault="00253E6C" w:rsidP="003A0C40">
      <w:pPr>
        <w:pStyle w:val="ListParagraph"/>
        <w:numPr>
          <w:ilvl w:val="0"/>
          <w:numId w:val="6"/>
        </w:numPr>
        <w:tabs>
          <w:tab w:val="left" w:pos="1134"/>
        </w:tabs>
        <w:ind w:left="0" w:firstLine="709"/>
        <w:jc w:val="both"/>
        <w:rPr>
          <w:rFonts w:ascii="PermianSerifTypeface" w:hAnsi="PermianSerifTypeface"/>
          <w:lang w:val="en-GB"/>
        </w:rPr>
      </w:pPr>
      <w:r w:rsidRPr="00D66EE5">
        <w:rPr>
          <w:rFonts w:ascii="PermianSerifTypeface" w:hAnsi="PermianSerifTypeface"/>
          <w:lang w:val="en-GB"/>
        </w:rPr>
        <w:t xml:space="preserve">The </w:t>
      </w:r>
      <w:r w:rsidR="003A0C40" w:rsidRPr="00D66EE5">
        <w:rPr>
          <w:rFonts w:ascii="PermianSerifTypeface" w:hAnsi="PermianSerifTypeface"/>
          <w:lang w:val="en-GB"/>
        </w:rPr>
        <w:t xml:space="preserve">Participants shall </w:t>
      </w:r>
      <w:r w:rsidR="00FE4260" w:rsidRPr="00D66EE5">
        <w:rPr>
          <w:rFonts w:ascii="PermianSerifTypeface" w:hAnsi="PermianSerifTypeface"/>
          <w:lang w:val="en-GB"/>
        </w:rPr>
        <w:t>assist</w:t>
      </w:r>
      <w:r w:rsidR="003A0C40" w:rsidRPr="00D66EE5">
        <w:rPr>
          <w:rFonts w:ascii="PermianSerifTypeface" w:hAnsi="PermianSerifTypeface"/>
          <w:lang w:val="en-GB"/>
        </w:rPr>
        <w:t xml:space="preserve"> in tests, to be conducted at least yearly by the </w:t>
      </w:r>
      <w:r w:rsidR="000325B4" w:rsidRPr="00D66EE5">
        <w:rPr>
          <w:rFonts w:ascii="PermianSerifTypeface" w:hAnsi="PermianSerifTypeface"/>
          <w:lang w:val="en-GB"/>
        </w:rPr>
        <w:t xml:space="preserve">Single </w:t>
      </w:r>
      <w:r w:rsidR="003A0C40" w:rsidRPr="00D66EE5">
        <w:rPr>
          <w:rFonts w:ascii="PermianSerifTypeface" w:hAnsi="PermianSerifTypeface"/>
          <w:lang w:val="en-GB"/>
        </w:rPr>
        <w:t xml:space="preserve">Central </w:t>
      </w:r>
      <w:r w:rsidR="00005C92" w:rsidRPr="00D66EE5">
        <w:rPr>
          <w:rFonts w:ascii="PermianSerifTypeface" w:hAnsi="PermianSerifTypeface"/>
          <w:lang w:val="en-GB"/>
        </w:rPr>
        <w:t>Depository</w:t>
      </w:r>
      <w:r w:rsidR="003A0C40" w:rsidRPr="00D66EE5">
        <w:rPr>
          <w:rFonts w:ascii="PermianSerifTypeface" w:hAnsi="PermianSerifTypeface"/>
          <w:lang w:val="en-GB"/>
        </w:rPr>
        <w:t xml:space="preserve">, to test incident response capabilities in accordance with scenarios developed by the </w:t>
      </w:r>
      <w:r w:rsidR="000325B4" w:rsidRPr="00D66EE5">
        <w:rPr>
          <w:rFonts w:ascii="PermianSerifTypeface" w:hAnsi="PermianSerifTypeface"/>
          <w:lang w:val="en-GB"/>
        </w:rPr>
        <w:t xml:space="preserve">Single </w:t>
      </w:r>
      <w:r w:rsidR="003A0C40" w:rsidRPr="00D66EE5">
        <w:rPr>
          <w:rFonts w:ascii="PermianSerifTypeface" w:hAnsi="PermianSerifTypeface"/>
          <w:lang w:val="en-GB"/>
        </w:rPr>
        <w:t>Central Deposit</w:t>
      </w:r>
      <w:r w:rsidR="00005C92" w:rsidRPr="00D66EE5">
        <w:rPr>
          <w:rFonts w:ascii="PermianSerifTypeface" w:hAnsi="PermianSerifTypeface"/>
          <w:lang w:val="en-GB"/>
        </w:rPr>
        <w:t>o</w:t>
      </w:r>
      <w:r w:rsidR="003A0C40" w:rsidRPr="00D66EE5">
        <w:rPr>
          <w:rFonts w:ascii="PermianSerifTypeface" w:hAnsi="PermianSerifTypeface"/>
          <w:lang w:val="en-GB"/>
        </w:rPr>
        <w:t>ry.</w:t>
      </w:r>
    </w:p>
    <w:p w14:paraId="4A7F6714" w14:textId="57989470" w:rsidR="00F65200" w:rsidRPr="00D66EE5"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7</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343923A4" w14:textId="1383821A" w:rsidR="003A0C40" w:rsidRDefault="003A0C40" w:rsidP="003A0C40">
      <w:pPr>
        <w:pStyle w:val="ListParagraph"/>
        <w:numPr>
          <w:ilvl w:val="0"/>
          <w:numId w:val="6"/>
        </w:numPr>
        <w:tabs>
          <w:tab w:val="left" w:pos="1134"/>
        </w:tabs>
        <w:ind w:left="0" w:firstLine="709"/>
        <w:jc w:val="both"/>
        <w:rPr>
          <w:rFonts w:ascii="PermianSerifTypeface" w:hAnsi="PermianSerifTypeface"/>
          <w:lang w:val="en-GB"/>
        </w:rPr>
      </w:pPr>
      <w:r w:rsidRPr="00D66EE5">
        <w:rPr>
          <w:rFonts w:ascii="PermianSerifTypeface" w:hAnsi="PermianSerifTypeface"/>
          <w:lang w:val="en-GB"/>
        </w:rPr>
        <w:t xml:space="preserve">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w:t>
      </w:r>
      <w:r w:rsidR="00005C92" w:rsidRPr="00D66EE5">
        <w:rPr>
          <w:rFonts w:ascii="PermianSerifTypeface" w:hAnsi="PermianSerifTypeface"/>
          <w:lang w:val="en-GB"/>
        </w:rPr>
        <w:t>o</w:t>
      </w:r>
      <w:r w:rsidRPr="00D66EE5">
        <w:rPr>
          <w:rFonts w:ascii="PermianSerifTypeface" w:hAnsi="PermianSerifTypeface"/>
          <w:lang w:val="en-GB"/>
        </w:rPr>
        <w:t xml:space="preserve">ry shall examine the candidate’s application for participation in 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 and shall provide its reply within latest 30 calendar days from the date of application receipt.</w:t>
      </w:r>
    </w:p>
    <w:p w14:paraId="3722EB20" w14:textId="1CEFD424" w:rsidR="00F65200" w:rsidRPr="00D66EE5"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8</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4907E5F6" w14:textId="37AA3D39" w:rsidR="003A0C40" w:rsidRDefault="003A0C40" w:rsidP="00485588">
      <w:pPr>
        <w:pStyle w:val="ListParagraph"/>
        <w:numPr>
          <w:ilvl w:val="0"/>
          <w:numId w:val="6"/>
        </w:numPr>
        <w:tabs>
          <w:tab w:val="left" w:pos="1134"/>
        </w:tabs>
        <w:ind w:left="0" w:firstLine="709"/>
        <w:jc w:val="both"/>
        <w:rPr>
          <w:rFonts w:ascii="PermianSerifTypeface" w:hAnsi="PermianSerifTypeface"/>
          <w:lang w:val="en-GB"/>
        </w:rPr>
      </w:pPr>
      <w:r w:rsidRPr="00D66EE5">
        <w:rPr>
          <w:rFonts w:ascii="PermianSerifTypeface" w:hAnsi="PermianSerifTypeface"/>
          <w:lang w:val="en-GB"/>
        </w:rPr>
        <w:t xml:space="preserve">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w:t>
      </w:r>
      <w:r w:rsidR="00005C92" w:rsidRPr="00D66EE5">
        <w:rPr>
          <w:rFonts w:ascii="PermianSerifTypeface" w:hAnsi="PermianSerifTypeface"/>
          <w:lang w:val="en-GB"/>
        </w:rPr>
        <w:t>o</w:t>
      </w:r>
      <w:r w:rsidRPr="00D66EE5">
        <w:rPr>
          <w:rFonts w:ascii="PermianSerifTypeface" w:hAnsi="PermianSerifTypeface"/>
          <w:lang w:val="en-GB"/>
        </w:rPr>
        <w:t xml:space="preserve">ry may request the applicant to complete or rectify the submitted documents where the applicant did not </w:t>
      </w:r>
      <w:r w:rsidR="00485588" w:rsidRPr="00D66EE5">
        <w:rPr>
          <w:rFonts w:ascii="PermianSerifTypeface" w:hAnsi="PermianSerifTypeface"/>
          <w:lang w:val="en-GB"/>
        </w:rPr>
        <w:t xml:space="preserve">provide </w:t>
      </w:r>
      <w:r w:rsidRPr="00D66EE5">
        <w:rPr>
          <w:rFonts w:ascii="PermianSerifTypeface" w:hAnsi="PermianSerifTypeface"/>
          <w:lang w:val="en-GB"/>
        </w:rPr>
        <w:t>a complete list of documents</w:t>
      </w:r>
      <w:r w:rsidR="00485588" w:rsidRPr="00D66EE5">
        <w:rPr>
          <w:rFonts w:ascii="PermianSerifTypeface" w:hAnsi="PermianSerifTypeface"/>
          <w:lang w:val="en-GB"/>
        </w:rPr>
        <w:t xml:space="preserve"> or the documents’ content</w:t>
      </w:r>
      <w:r w:rsidRPr="00D66EE5">
        <w:rPr>
          <w:rFonts w:ascii="PermianSerifTypeface" w:hAnsi="PermianSerifTypeface"/>
          <w:lang w:val="en-GB"/>
        </w:rPr>
        <w:t xml:space="preserve"> </w:t>
      </w:r>
      <w:r w:rsidR="00485588" w:rsidRPr="00D66EE5">
        <w:rPr>
          <w:rFonts w:ascii="PermianSerifTypeface" w:hAnsi="PermianSerifTypeface"/>
          <w:lang w:val="en-GB"/>
        </w:rPr>
        <w:t>is</w:t>
      </w:r>
      <w:r w:rsidRPr="00D66EE5">
        <w:rPr>
          <w:rFonts w:ascii="PermianSerifTypeface" w:hAnsi="PermianSerifTypeface"/>
          <w:lang w:val="en-GB"/>
        </w:rPr>
        <w:t xml:space="preserve"> not clear</w:t>
      </w:r>
      <w:r w:rsidR="00485588" w:rsidRPr="00D66EE5">
        <w:rPr>
          <w:rFonts w:ascii="PermianSerifTypeface" w:hAnsi="PermianSerifTypeface"/>
          <w:lang w:val="en-GB"/>
        </w:rPr>
        <w:t>,</w:t>
      </w:r>
      <w:r w:rsidRPr="00D66EE5">
        <w:rPr>
          <w:rFonts w:ascii="PermianSerifTypeface" w:hAnsi="PermianSerifTypeface"/>
          <w:lang w:val="en-GB"/>
        </w:rPr>
        <w:t xml:space="preserve"> or </w:t>
      </w:r>
      <w:r w:rsidR="00485588" w:rsidRPr="00D66EE5">
        <w:rPr>
          <w:rFonts w:ascii="PermianSerifTypeface" w:hAnsi="PermianSerifTypeface"/>
          <w:lang w:val="en-GB"/>
        </w:rPr>
        <w:t xml:space="preserve">they </w:t>
      </w:r>
      <w:r w:rsidRPr="00D66EE5">
        <w:rPr>
          <w:rFonts w:ascii="PermianSerifTypeface" w:hAnsi="PermianSerifTypeface"/>
          <w:lang w:val="en-GB"/>
        </w:rPr>
        <w:t>are not drawn up in accordance with the provisions of these R</w:t>
      </w:r>
      <w:r w:rsidR="00485588" w:rsidRPr="00D66EE5">
        <w:rPr>
          <w:rFonts w:ascii="PermianSerifTypeface" w:hAnsi="PermianSerifTypeface"/>
          <w:lang w:val="en-GB"/>
        </w:rPr>
        <w:t>egulation</w:t>
      </w:r>
      <w:r w:rsidRPr="00D66EE5">
        <w:rPr>
          <w:rFonts w:ascii="PermianSerifTypeface" w:hAnsi="PermianSerifTypeface"/>
          <w:lang w:val="en-GB"/>
        </w:rPr>
        <w:t xml:space="preserve"> or the Rules of 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 The time limit</w:t>
      </w:r>
      <w:r w:rsidR="00485588" w:rsidRPr="00D66EE5">
        <w:rPr>
          <w:rFonts w:ascii="PermianSerifTypeface" w:hAnsi="PermianSerifTypeface"/>
          <w:lang w:val="en-GB"/>
        </w:rPr>
        <w:t xml:space="preserve"> set</w:t>
      </w:r>
      <w:r w:rsidRPr="00D66EE5">
        <w:rPr>
          <w:rFonts w:ascii="PermianSerifTypeface" w:hAnsi="PermianSerifTypeface"/>
          <w:lang w:val="en-GB"/>
        </w:rPr>
        <w:t xml:space="preserve"> for the examination of the application shall run from the date of receipt of </w:t>
      </w:r>
      <w:r w:rsidR="00485588" w:rsidRPr="00D66EE5">
        <w:rPr>
          <w:rFonts w:ascii="PermianSerifTypeface" w:hAnsi="PermianSerifTypeface"/>
          <w:lang w:val="en-GB"/>
        </w:rPr>
        <w:t>a complete set of</w:t>
      </w:r>
      <w:r w:rsidRPr="00D66EE5">
        <w:rPr>
          <w:rFonts w:ascii="PermianSerifTypeface" w:hAnsi="PermianSerifTypeface"/>
          <w:lang w:val="en-GB"/>
        </w:rPr>
        <w:t xml:space="preserve"> documents </w:t>
      </w:r>
      <w:r w:rsidR="00485588" w:rsidRPr="00D66EE5">
        <w:rPr>
          <w:rFonts w:ascii="PermianSerifTypeface" w:hAnsi="PermianSerifTypeface"/>
          <w:lang w:val="en-GB"/>
        </w:rPr>
        <w:t>as described above</w:t>
      </w:r>
      <w:r w:rsidRPr="00D66EE5">
        <w:rPr>
          <w:rFonts w:ascii="PermianSerifTypeface" w:hAnsi="PermianSerifTypeface"/>
          <w:lang w:val="en-GB"/>
        </w:rPr>
        <w:t>.</w:t>
      </w:r>
    </w:p>
    <w:p w14:paraId="18FB8CE0" w14:textId="76618D82" w:rsidR="00F65200" w:rsidRPr="00D66EE5"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9</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720ADA57" w14:textId="434317D1" w:rsidR="00A95FE9" w:rsidRPr="00D66EE5" w:rsidRDefault="00A95FE9" w:rsidP="008501EB">
      <w:pPr>
        <w:pStyle w:val="ListParagraph"/>
        <w:numPr>
          <w:ilvl w:val="0"/>
          <w:numId w:val="6"/>
        </w:numPr>
        <w:tabs>
          <w:tab w:val="left" w:pos="1134"/>
        </w:tabs>
        <w:ind w:left="0" w:firstLine="709"/>
        <w:jc w:val="both"/>
        <w:rPr>
          <w:rFonts w:ascii="PermianSerifTypeface" w:hAnsi="PermianSerifTypeface"/>
          <w:lang w:val="en-GB"/>
        </w:rPr>
      </w:pPr>
      <w:r w:rsidRPr="00D66EE5">
        <w:rPr>
          <w:rFonts w:ascii="PermianSerifTypeface" w:hAnsi="PermianSerifTypeface"/>
          <w:lang w:val="en-GB"/>
        </w:rPr>
        <w:t xml:space="preserve">The </w:t>
      </w:r>
      <w:r w:rsidR="000325B4" w:rsidRPr="00D66EE5">
        <w:rPr>
          <w:rFonts w:ascii="PermianSerifTypeface" w:hAnsi="PermianSerifTypeface"/>
          <w:lang w:val="en-GB"/>
        </w:rPr>
        <w:t xml:space="preserve">Single </w:t>
      </w:r>
      <w:r w:rsidRPr="00D66EE5">
        <w:rPr>
          <w:rFonts w:ascii="PermianSerifTypeface" w:hAnsi="PermianSerifTypeface"/>
          <w:lang w:val="en-GB"/>
        </w:rPr>
        <w:t xml:space="preserve">Central </w:t>
      </w:r>
      <w:r w:rsidR="00005C92" w:rsidRPr="00D66EE5">
        <w:rPr>
          <w:rFonts w:ascii="PermianSerifTypeface" w:hAnsi="PermianSerifTypeface"/>
          <w:lang w:val="en-GB"/>
        </w:rPr>
        <w:t>Depository</w:t>
      </w:r>
      <w:r w:rsidRPr="00D66EE5">
        <w:rPr>
          <w:rFonts w:ascii="PermianSerifTypeface" w:hAnsi="PermianSerifTypeface"/>
          <w:lang w:val="en-GB"/>
        </w:rPr>
        <w:t xml:space="preserve"> may reject the application for obtaining the right of participation if:</w:t>
      </w:r>
    </w:p>
    <w:p w14:paraId="25673B36" w14:textId="6AFEE8FB" w:rsidR="00A95FE9" w:rsidRPr="00D66EE5" w:rsidRDefault="00A95FE9" w:rsidP="008501EB">
      <w:pPr>
        <w:pStyle w:val="ListParagraph"/>
        <w:tabs>
          <w:tab w:val="left" w:pos="1134"/>
        </w:tabs>
        <w:ind w:left="1134" w:hanging="414"/>
        <w:jc w:val="both"/>
        <w:rPr>
          <w:rFonts w:ascii="PermianSerifTypeface" w:hAnsi="PermianSerifTypeface"/>
          <w:lang w:val="en-GB"/>
        </w:rPr>
      </w:pPr>
      <w:r w:rsidRPr="00D66EE5">
        <w:rPr>
          <w:rFonts w:ascii="PermianSerifTypeface" w:hAnsi="PermianSerifTypeface"/>
          <w:lang w:val="en-GB"/>
        </w:rPr>
        <w:t>1)</w:t>
      </w:r>
      <w:r w:rsidR="008501EB" w:rsidRPr="00D66EE5">
        <w:rPr>
          <w:rFonts w:ascii="PermianSerifTypeface" w:hAnsi="PermianSerifTypeface"/>
          <w:lang w:val="en-GB"/>
        </w:rPr>
        <w:tab/>
      </w:r>
      <w:r w:rsidRPr="00D66EE5">
        <w:rPr>
          <w:rFonts w:ascii="PermianSerifTypeface" w:hAnsi="PermianSerifTypeface"/>
          <w:lang w:val="en-GB"/>
        </w:rPr>
        <w:t xml:space="preserve">the applicant is not an entity </w:t>
      </w:r>
      <w:r w:rsidR="00282535" w:rsidRPr="00D66EE5">
        <w:rPr>
          <w:rFonts w:ascii="PermianSerifTypeface" w:hAnsi="PermianSerifTypeface"/>
          <w:lang w:val="en-GB"/>
        </w:rPr>
        <w:t>specified under</w:t>
      </w:r>
      <w:r w:rsidRPr="00D66EE5">
        <w:rPr>
          <w:rFonts w:ascii="PermianSerifTypeface" w:hAnsi="PermianSerifTypeface"/>
          <w:lang w:val="en-GB"/>
        </w:rPr>
        <w:t xml:space="preserve"> </w:t>
      </w:r>
      <w:r w:rsidR="007A0AF0">
        <w:rPr>
          <w:rFonts w:ascii="PermianSerifTypeface" w:hAnsi="PermianSerifTypeface"/>
          <w:lang w:val="en-GB"/>
        </w:rPr>
        <w:t>point</w:t>
      </w:r>
      <w:r w:rsidR="007A0AF0" w:rsidRPr="00D66EE5">
        <w:rPr>
          <w:rFonts w:ascii="PermianSerifTypeface" w:hAnsi="PermianSerifTypeface"/>
          <w:lang w:val="en-GB"/>
        </w:rPr>
        <w:t xml:space="preserve"> </w:t>
      </w:r>
      <w:r w:rsidRPr="00D66EE5">
        <w:rPr>
          <w:rFonts w:ascii="PermianSerifTypeface" w:hAnsi="PermianSerifTypeface"/>
          <w:lang w:val="en-GB"/>
        </w:rPr>
        <w:t xml:space="preserve">4 and / or does not meet other requirements set out in 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 Rules;</w:t>
      </w:r>
    </w:p>
    <w:p w14:paraId="3157515C" w14:textId="48CBF4A5" w:rsidR="00A95FE9" w:rsidRDefault="00A95FE9" w:rsidP="008501EB">
      <w:pPr>
        <w:pStyle w:val="ListParagraph"/>
        <w:tabs>
          <w:tab w:val="left" w:pos="1134"/>
        </w:tabs>
        <w:ind w:left="1134" w:hanging="414"/>
        <w:jc w:val="both"/>
        <w:rPr>
          <w:rFonts w:ascii="PermianSerifTypeface" w:hAnsi="PermianSerifTypeface"/>
          <w:lang w:val="en-GB"/>
        </w:rPr>
      </w:pPr>
      <w:r w:rsidRPr="00D66EE5">
        <w:rPr>
          <w:rFonts w:ascii="PermianSerifTypeface" w:hAnsi="PermianSerifTypeface"/>
          <w:lang w:val="en-GB"/>
        </w:rPr>
        <w:t xml:space="preserve">2) </w:t>
      </w:r>
      <w:r w:rsidR="008501EB" w:rsidRPr="00D66EE5">
        <w:rPr>
          <w:rFonts w:ascii="PermianSerifTypeface" w:hAnsi="PermianSerifTypeface"/>
          <w:lang w:val="en-GB"/>
        </w:rPr>
        <w:tab/>
      </w:r>
      <w:r w:rsidRPr="00D66EE5">
        <w:rPr>
          <w:rFonts w:ascii="PermianSerifTypeface" w:hAnsi="PermianSerifTypeface"/>
          <w:lang w:val="en-GB"/>
        </w:rPr>
        <w:t xml:space="preserve">the applicant did not submit the requested documents and information within the deadline set forth by the </w:t>
      </w:r>
      <w:r w:rsidR="000325B4" w:rsidRPr="00D66EE5">
        <w:rPr>
          <w:rFonts w:ascii="PermianSerifTypeface" w:hAnsi="PermianSerifTypeface"/>
          <w:lang w:val="en-GB"/>
        </w:rPr>
        <w:t xml:space="preserve">Single </w:t>
      </w:r>
      <w:r w:rsidRPr="00D66EE5">
        <w:rPr>
          <w:rFonts w:ascii="PermianSerifTypeface" w:hAnsi="PermianSerifTypeface"/>
          <w:lang w:val="en-GB"/>
        </w:rPr>
        <w:t xml:space="preserve">Central Depository, or the submitted documents and information contain incomplete, contradictory, </w:t>
      </w:r>
      <w:r w:rsidR="00282535" w:rsidRPr="00D66EE5">
        <w:rPr>
          <w:rFonts w:ascii="PermianSerifTypeface" w:hAnsi="PermianSerifTypeface"/>
          <w:lang w:val="en-GB"/>
        </w:rPr>
        <w:t>inaccurate</w:t>
      </w:r>
      <w:r w:rsidRPr="00D66EE5">
        <w:rPr>
          <w:rFonts w:ascii="PermianSerifTypeface" w:hAnsi="PermianSerifTypeface"/>
          <w:lang w:val="en-GB"/>
        </w:rPr>
        <w:t xml:space="preserve"> or insufficient data to </w:t>
      </w:r>
      <w:r w:rsidR="00282535" w:rsidRPr="00D66EE5">
        <w:rPr>
          <w:rFonts w:ascii="PermianSerifTypeface" w:hAnsi="PermianSerifTypeface"/>
          <w:lang w:val="en-GB"/>
        </w:rPr>
        <w:t xml:space="preserve">enable the </w:t>
      </w:r>
      <w:r w:rsidR="000325B4" w:rsidRPr="00D66EE5">
        <w:rPr>
          <w:rFonts w:ascii="PermianSerifTypeface" w:hAnsi="PermianSerifTypeface"/>
          <w:lang w:val="en-GB"/>
        </w:rPr>
        <w:t xml:space="preserve">Single </w:t>
      </w:r>
      <w:r w:rsidR="00282535" w:rsidRPr="00D66EE5">
        <w:rPr>
          <w:rFonts w:ascii="PermianSerifTypeface" w:hAnsi="PermianSerifTypeface"/>
          <w:lang w:val="en-GB"/>
        </w:rPr>
        <w:t xml:space="preserve">Central Depository to </w:t>
      </w:r>
      <w:r w:rsidRPr="00D66EE5">
        <w:rPr>
          <w:rFonts w:ascii="PermianSerifTypeface" w:hAnsi="PermianSerifTypeface"/>
          <w:lang w:val="en-GB"/>
        </w:rPr>
        <w:t xml:space="preserve">ascertain compliance with the conditions set out in </w:t>
      </w:r>
      <w:r w:rsidR="007A0AF0">
        <w:rPr>
          <w:rFonts w:ascii="PermianSerifTypeface" w:hAnsi="PermianSerifTypeface"/>
          <w:lang w:val="en-GB"/>
        </w:rPr>
        <w:t>points</w:t>
      </w:r>
      <w:r w:rsidR="007A0AF0" w:rsidRPr="00D66EE5">
        <w:rPr>
          <w:rFonts w:ascii="PermianSerifTypeface" w:hAnsi="PermianSerifTypeface"/>
          <w:lang w:val="en-GB"/>
        </w:rPr>
        <w:t xml:space="preserve"> </w:t>
      </w:r>
      <w:r w:rsidRPr="00D66EE5">
        <w:rPr>
          <w:rFonts w:ascii="PermianSerifTypeface" w:hAnsi="PermianSerifTypeface"/>
          <w:lang w:val="en-GB"/>
        </w:rPr>
        <w:t xml:space="preserve">5-6. </w:t>
      </w:r>
    </w:p>
    <w:p w14:paraId="6FC0759A" w14:textId="4E15E46D" w:rsidR="00F65200" w:rsidRPr="00D66EE5" w:rsidRDefault="00F65200" w:rsidP="008501EB">
      <w:pPr>
        <w:pStyle w:val="ListParagraph"/>
        <w:tabs>
          <w:tab w:val="left" w:pos="1134"/>
        </w:tabs>
        <w:ind w:left="1134" w:hanging="414"/>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10</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53A77610" w14:textId="38E9022A" w:rsidR="00282535" w:rsidRDefault="00282535" w:rsidP="00282535">
      <w:pPr>
        <w:pStyle w:val="ListParagraph"/>
        <w:numPr>
          <w:ilvl w:val="0"/>
          <w:numId w:val="6"/>
        </w:numPr>
        <w:tabs>
          <w:tab w:val="left" w:pos="1134"/>
        </w:tabs>
        <w:ind w:left="0" w:firstLine="709"/>
        <w:jc w:val="both"/>
        <w:rPr>
          <w:rFonts w:ascii="PermianSerifTypeface" w:hAnsi="PermianSerifTypeface"/>
          <w:lang w:val="en-GB"/>
        </w:rPr>
      </w:pPr>
      <w:r w:rsidRPr="00D66EE5">
        <w:rPr>
          <w:rFonts w:ascii="PermianSerifTypeface" w:hAnsi="PermianSerifTypeface"/>
          <w:lang w:val="en-GB"/>
        </w:rPr>
        <w:t xml:space="preserve">In the case of rejection of a candidate’s application for obtaining the right of participation, the applicant may submit </w:t>
      </w:r>
      <w:r w:rsidR="00C678E0" w:rsidRPr="00D66EE5">
        <w:rPr>
          <w:rFonts w:ascii="PermianSerifTypeface" w:hAnsi="PermianSerifTypeface"/>
          <w:lang w:val="en-GB"/>
        </w:rPr>
        <w:t xml:space="preserve">a </w:t>
      </w:r>
      <w:r w:rsidRPr="00D66EE5">
        <w:rPr>
          <w:rFonts w:ascii="PermianSerifTypeface" w:hAnsi="PermianSerifTypeface"/>
          <w:lang w:val="en-GB"/>
        </w:rPr>
        <w:t>new application after clearing up the circumstances that served as grounds for rejectin</w:t>
      </w:r>
      <w:r w:rsidR="00005C92" w:rsidRPr="00D66EE5">
        <w:rPr>
          <w:rFonts w:ascii="PermianSerifTypeface" w:hAnsi="PermianSerifTypeface"/>
          <w:lang w:val="en-GB"/>
        </w:rPr>
        <w:t>g</w:t>
      </w:r>
      <w:r w:rsidRPr="00D66EE5">
        <w:rPr>
          <w:rFonts w:ascii="PermianSerifTypeface" w:hAnsi="PermianSerifTypeface"/>
          <w:lang w:val="en-GB"/>
        </w:rPr>
        <w:t xml:space="preserve"> the previous application. </w:t>
      </w:r>
    </w:p>
    <w:p w14:paraId="5DEE151C" w14:textId="58750572" w:rsidR="00C678E0" w:rsidRDefault="00482551" w:rsidP="00C678E0">
      <w:pPr>
        <w:pStyle w:val="ListParagraph"/>
        <w:numPr>
          <w:ilvl w:val="0"/>
          <w:numId w:val="6"/>
        </w:numPr>
        <w:tabs>
          <w:tab w:val="left" w:pos="1134"/>
        </w:tabs>
        <w:ind w:left="0" w:firstLine="709"/>
        <w:jc w:val="both"/>
        <w:rPr>
          <w:rFonts w:ascii="PermianSerifTypeface" w:hAnsi="PermianSerifTypeface"/>
          <w:lang w:val="en-GB"/>
        </w:rPr>
      </w:pPr>
      <w:r w:rsidRPr="00D66EE5">
        <w:rPr>
          <w:rFonts w:ascii="PermianSerifTypeface" w:hAnsi="PermianSerifTypeface"/>
          <w:lang w:val="en-GB"/>
        </w:rPr>
        <w:t xml:space="preserve">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 shall inform t</w:t>
      </w:r>
      <w:r w:rsidR="00C678E0" w:rsidRPr="00D66EE5">
        <w:rPr>
          <w:rFonts w:ascii="PermianSerifTypeface" w:hAnsi="PermianSerifTypeface"/>
          <w:lang w:val="en-GB"/>
        </w:rPr>
        <w:t>he applicant in writing about</w:t>
      </w:r>
      <w:r w:rsidRPr="00D66EE5">
        <w:rPr>
          <w:rFonts w:ascii="PermianSerifTypeface" w:hAnsi="PermianSerifTypeface"/>
          <w:lang w:val="en-GB"/>
        </w:rPr>
        <w:t xml:space="preserve"> its</w:t>
      </w:r>
      <w:r w:rsidR="00C678E0" w:rsidRPr="00D66EE5">
        <w:rPr>
          <w:rFonts w:ascii="PermianSerifTypeface" w:hAnsi="PermianSerifTypeface"/>
          <w:lang w:val="en-GB"/>
        </w:rPr>
        <w:t xml:space="preserve"> refusal to </w:t>
      </w:r>
      <w:r w:rsidRPr="00D66EE5">
        <w:rPr>
          <w:rFonts w:ascii="PermianSerifTypeface" w:hAnsi="PermianSerifTypeface"/>
          <w:lang w:val="en-GB"/>
        </w:rPr>
        <w:t>grant the right of participation</w:t>
      </w:r>
      <w:r w:rsidR="00C678E0" w:rsidRPr="00D66EE5">
        <w:rPr>
          <w:rFonts w:ascii="PermianSerifTypeface" w:hAnsi="PermianSerifTypeface"/>
          <w:lang w:val="en-GB"/>
        </w:rPr>
        <w:t xml:space="preserve">, including </w:t>
      </w:r>
      <w:r w:rsidRPr="00D66EE5">
        <w:rPr>
          <w:rFonts w:ascii="PermianSerifTypeface" w:hAnsi="PermianSerifTypeface"/>
          <w:lang w:val="en-GB"/>
        </w:rPr>
        <w:t xml:space="preserve">by stating </w:t>
      </w:r>
      <w:r w:rsidR="00C678E0" w:rsidRPr="00D66EE5">
        <w:rPr>
          <w:rFonts w:ascii="PermianSerifTypeface" w:hAnsi="PermianSerifTypeface"/>
          <w:lang w:val="en-GB"/>
        </w:rPr>
        <w:t>the reasons for th</w:t>
      </w:r>
      <w:r w:rsidRPr="00D66EE5">
        <w:rPr>
          <w:rFonts w:ascii="PermianSerifTypeface" w:hAnsi="PermianSerifTypeface"/>
          <w:lang w:val="en-GB"/>
        </w:rPr>
        <w:t>at</w:t>
      </w:r>
      <w:r w:rsidR="00C678E0" w:rsidRPr="00D66EE5">
        <w:rPr>
          <w:rFonts w:ascii="PermianSerifTypeface" w:hAnsi="PermianSerifTypeface"/>
          <w:lang w:val="en-GB"/>
        </w:rPr>
        <w:t xml:space="preserve"> </w:t>
      </w:r>
      <w:r w:rsidR="00C678E0" w:rsidRPr="00D66EE5">
        <w:rPr>
          <w:rFonts w:ascii="PermianSerifTypeface" w:hAnsi="PermianSerifTypeface"/>
          <w:lang w:val="en-GB"/>
        </w:rPr>
        <w:lastRenderedPageBreak/>
        <w:t>refusal, which shall be objective</w:t>
      </w:r>
      <w:r w:rsidRPr="00D66EE5">
        <w:rPr>
          <w:rFonts w:ascii="PermianSerifTypeface" w:hAnsi="PermianSerifTypeface"/>
          <w:lang w:val="en-GB"/>
        </w:rPr>
        <w:t xml:space="preserve"> and</w:t>
      </w:r>
      <w:r w:rsidR="00C678E0" w:rsidRPr="00D66EE5">
        <w:rPr>
          <w:rFonts w:ascii="PermianSerifTypeface" w:hAnsi="PermianSerifTypeface"/>
          <w:lang w:val="en-GB"/>
        </w:rPr>
        <w:t xml:space="preserve"> non-discriminatory</w:t>
      </w:r>
      <w:r w:rsidRPr="00D66EE5">
        <w:rPr>
          <w:rFonts w:ascii="PermianSerifTypeface" w:hAnsi="PermianSerifTypeface"/>
          <w:lang w:val="en-GB"/>
        </w:rPr>
        <w:t xml:space="preserve"> and shall be </w:t>
      </w:r>
      <w:r w:rsidR="00C678E0" w:rsidRPr="00D66EE5">
        <w:rPr>
          <w:rFonts w:ascii="PermianSerifTypeface" w:hAnsi="PermianSerifTypeface"/>
          <w:lang w:val="en-GB"/>
        </w:rPr>
        <w:t>based on a</w:t>
      </w:r>
      <w:r w:rsidRPr="00D66EE5">
        <w:rPr>
          <w:rFonts w:ascii="PermianSerifTypeface" w:hAnsi="PermianSerifTypeface"/>
          <w:lang w:val="en-GB"/>
        </w:rPr>
        <w:t xml:space="preserve"> proper</w:t>
      </w:r>
      <w:r w:rsidR="00C678E0" w:rsidRPr="00D66EE5">
        <w:rPr>
          <w:rFonts w:ascii="PermianSerifTypeface" w:hAnsi="PermianSerifTypeface"/>
          <w:lang w:val="en-GB"/>
        </w:rPr>
        <w:t xml:space="preserve"> risk assessment.</w:t>
      </w:r>
    </w:p>
    <w:p w14:paraId="1C5EDA1B" w14:textId="187168D0" w:rsidR="00F65200" w:rsidRPr="00D66EE5"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12</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459BFA0E" w14:textId="66FF848A" w:rsidR="00A142DF" w:rsidRPr="00D66EE5" w:rsidRDefault="00482551" w:rsidP="00B17F06">
      <w:pPr>
        <w:pStyle w:val="ListParagraph"/>
        <w:numPr>
          <w:ilvl w:val="0"/>
          <w:numId w:val="6"/>
        </w:numPr>
        <w:tabs>
          <w:tab w:val="left" w:pos="1134"/>
        </w:tabs>
        <w:ind w:left="0" w:firstLine="720"/>
        <w:jc w:val="both"/>
        <w:rPr>
          <w:rFonts w:ascii="PermianSerifTypeface" w:hAnsi="PermianSerifTypeface"/>
          <w:lang w:val="en-GB"/>
        </w:rPr>
      </w:pPr>
      <w:r w:rsidRPr="00D66EE5">
        <w:rPr>
          <w:rFonts w:ascii="PermianSerifTypeface" w:hAnsi="PermianSerifTypeface"/>
          <w:lang w:val="en-GB"/>
        </w:rPr>
        <w:t xml:space="preserve">Once 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 decided to grant the right of participation to an applicant, it shall</w:t>
      </w:r>
      <w:r w:rsidR="00A142DF" w:rsidRPr="00D66EE5">
        <w:rPr>
          <w:rFonts w:ascii="PermianSerifTypeface" w:hAnsi="PermianSerifTypeface"/>
          <w:lang w:val="en-GB"/>
        </w:rPr>
        <w:t>:</w:t>
      </w:r>
    </w:p>
    <w:p w14:paraId="079413A3" w14:textId="640A1085" w:rsidR="00482551" w:rsidRPr="00D66EE5" w:rsidRDefault="00482551" w:rsidP="00482551">
      <w:pPr>
        <w:pStyle w:val="ListParagraph"/>
        <w:tabs>
          <w:tab w:val="left" w:pos="1134"/>
        </w:tabs>
        <w:ind w:left="1134" w:hanging="414"/>
        <w:jc w:val="both"/>
        <w:rPr>
          <w:rFonts w:ascii="PermianSerifTypeface" w:hAnsi="PermianSerifTypeface"/>
          <w:lang w:val="en-GB"/>
        </w:rPr>
      </w:pPr>
      <w:r w:rsidRPr="00D66EE5">
        <w:rPr>
          <w:rFonts w:ascii="PermianSerifTypeface" w:hAnsi="PermianSerifTypeface"/>
          <w:lang w:val="en-GB"/>
        </w:rPr>
        <w:t>1)</w:t>
      </w:r>
      <w:r w:rsidRPr="00D66EE5">
        <w:rPr>
          <w:rFonts w:ascii="PermianSerifTypeface" w:hAnsi="PermianSerifTypeface"/>
          <w:lang w:val="en-GB"/>
        </w:rPr>
        <w:tab/>
      </w:r>
      <w:r w:rsidR="00A12FB8" w:rsidRPr="00D66EE5">
        <w:rPr>
          <w:rFonts w:ascii="PermianSerifTypeface" w:hAnsi="PermianSerifTypeface"/>
          <w:lang w:val="en-GB"/>
        </w:rPr>
        <w:t>inform</w:t>
      </w:r>
      <w:r w:rsidRPr="00D66EE5">
        <w:rPr>
          <w:rFonts w:ascii="PermianSerifTypeface" w:hAnsi="PermianSerifTypeface"/>
          <w:lang w:val="en-GB"/>
        </w:rPr>
        <w:t xml:space="preserve"> </w:t>
      </w:r>
      <w:r w:rsidR="00A12FB8" w:rsidRPr="00D66EE5">
        <w:rPr>
          <w:rFonts w:ascii="PermianSerifTypeface" w:hAnsi="PermianSerifTypeface"/>
          <w:lang w:val="en-GB"/>
        </w:rPr>
        <w:t xml:space="preserve">the applicant </w:t>
      </w:r>
      <w:r w:rsidRPr="00D66EE5">
        <w:rPr>
          <w:rFonts w:ascii="PermianSerifTypeface" w:hAnsi="PermianSerifTypeface"/>
          <w:lang w:val="en-GB"/>
        </w:rPr>
        <w:t xml:space="preserve">in writing </w:t>
      </w:r>
      <w:r w:rsidR="00D10D97" w:rsidRPr="00D66EE5">
        <w:rPr>
          <w:rFonts w:ascii="PermianSerifTypeface" w:hAnsi="PermianSerifTypeface"/>
          <w:lang w:val="en-GB"/>
        </w:rPr>
        <w:t>on</w:t>
      </w:r>
      <w:r w:rsidR="00A12FB8" w:rsidRPr="00D66EE5">
        <w:rPr>
          <w:rFonts w:ascii="PermianSerifTypeface" w:hAnsi="PermianSerifTypeface"/>
          <w:lang w:val="en-GB"/>
        </w:rPr>
        <w:t xml:space="preserve"> </w:t>
      </w:r>
      <w:r w:rsidR="00D10D97" w:rsidRPr="00D66EE5">
        <w:rPr>
          <w:rFonts w:ascii="PermianSerifTypeface" w:hAnsi="PermianSerifTypeface"/>
          <w:lang w:val="en-GB"/>
        </w:rPr>
        <w:t xml:space="preserve">having </w:t>
      </w:r>
      <w:r w:rsidR="00A12FB8" w:rsidRPr="00D66EE5">
        <w:rPr>
          <w:rFonts w:ascii="PermianSerifTypeface" w:hAnsi="PermianSerifTypeface"/>
          <w:lang w:val="en-GB"/>
        </w:rPr>
        <w:t>grant</w:t>
      </w:r>
      <w:r w:rsidR="00D10D97" w:rsidRPr="00D66EE5">
        <w:rPr>
          <w:rFonts w:ascii="PermianSerifTypeface" w:hAnsi="PermianSerifTypeface"/>
          <w:lang w:val="en-GB"/>
        </w:rPr>
        <w:t>ed</w:t>
      </w:r>
      <w:r w:rsidR="00A12FB8" w:rsidRPr="00D66EE5">
        <w:rPr>
          <w:rFonts w:ascii="PermianSerifTypeface" w:hAnsi="PermianSerifTypeface"/>
          <w:lang w:val="en-GB"/>
        </w:rPr>
        <w:t xml:space="preserve"> </w:t>
      </w:r>
      <w:r w:rsidR="00005C92" w:rsidRPr="00D66EE5">
        <w:rPr>
          <w:rFonts w:ascii="PermianSerifTypeface" w:hAnsi="PermianSerifTypeface"/>
          <w:lang w:val="en-GB"/>
        </w:rPr>
        <w:t>it</w:t>
      </w:r>
      <w:r w:rsidR="00A12FB8" w:rsidRPr="00D66EE5">
        <w:rPr>
          <w:rFonts w:ascii="PermianSerifTypeface" w:hAnsi="PermianSerifTypeface"/>
          <w:lang w:val="en-GB"/>
        </w:rPr>
        <w:t xml:space="preserve"> the right of participation in the </w:t>
      </w:r>
      <w:r w:rsidR="000325B4" w:rsidRPr="00D66EE5">
        <w:rPr>
          <w:rFonts w:ascii="PermianSerifTypeface" w:hAnsi="PermianSerifTypeface"/>
          <w:lang w:val="en-GB"/>
        </w:rPr>
        <w:t xml:space="preserve">Single </w:t>
      </w:r>
      <w:r w:rsidR="00A12FB8" w:rsidRPr="00D66EE5">
        <w:rPr>
          <w:rFonts w:ascii="PermianSerifTypeface" w:hAnsi="PermianSerifTypeface"/>
          <w:lang w:val="en-GB"/>
        </w:rPr>
        <w:t xml:space="preserve">Central Depository </w:t>
      </w:r>
      <w:r w:rsidRPr="00D66EE5">
        <w:rPr>
          <w:rFonts w:ascii="PermianSerifTypeface" w:hAnsi="PermianSerifTypeface"/>
          <w:lang w:val="en-GB"/>
        </w:rPr>
        <w:t>a</w:t>
      </w:r>
      <w:r w:rsidR="00005C92" w:rsidRPr="00D66EE5">
        <w:rPr>
          <w:rFonts w:ascii="PermianSerifTypeface" w:hAnsi="PermianSerifTypeface"/>
          <w:lang w:val="en-GB"/>
        </w:rPr>
        <w:t>s well as</w:t>
      </w:r>
      <w:r w:rsidRPr="00D66EE5">
        <w:rPr>
          <w:rFonts w:ascii="PermianSerifTypeface" w:hAnsi="PermianSerifTypeface"/>
          <w:lang w:val="en-GB"/>
        </w:rPr>
        <w:t xml:space="preserve"> </w:t>
      </w:r>
      <w:r w:rsidR="00D10D97" w:rsidRPr="00D66EE5">
        <w:rPr>
          <w:rFonts w:ascii="PermianSerifTypeface" w:hAnsi="PermianSerifTypeface"/>
          <w:lang w:val="en-GB"/>
        </w:rPr>
        <w:t xml:space="preserve">forward a written </w:t>
      </w:r>
      <w:r w:rsidRPr="00D66EE5">
        <w:rPr>
          <w:rFonts w:ascii="PermianSerifTypeface" w:hAnsi="PermianSerifTypeface"/>
          <w:lang w:val="en-GB"/>
        </w:rPr>
        <w:t>noti</w:t>
      </w:r>
      <w:r w:rsidR="00D10D97" w:rsidRPr="00D66EE5">
        <w:rPr>
          <w:rFonts w:ascii="PermianSerifTypeface" w:hAnsi="PermianSerifTypeface"/>
          <w:lang w:val="en-GB"/>
        </w:rPr>
        <w:t>ce to</w:t>
      </w:r>
      <w:r w:rsidRPr="00D66EE5">
        <w:rPr>
          <w:rFonts w:ascii="PermianSerifTypeface" w:hAnsi="PermianSerifTypeface"/>
          <w:lang w:val="en-GB"/>
        </w:rPr>
        <w:t xml:space="preserve"> the NBM </w:t>
      </w:r>
      <w:r w:rsidR="000325B4" w:rsidRPr="00D66EE5">
        <w:rPr>
          <w:rFonts w:ascii="PermianSerifTypeface" w:hAnsi="PermianSerifTypeface"/>
          <w:lang w:val="en-GB"/>
        </w:rPr>
        <w:t xml:space="preserve">and NCFM </w:t>
      </w:r>
      <w:r w:rsidR="00A12FB8" w:rsidRPr="00D66EE5">
        <w:rPr>
          <w:rFonts w:ascii="PermianSerifTypeface" w:hAnsi="PermianSerifTypeface"/>
          <w:lang w:val="en-GB"/>
        </w:rPr>
        <w:t xml:space="preserve">on its decision to grant the above right, </w:t>
      </w:r>
      <w:r w:rsidRPr="00D66EE5">
        <w:rPr>
          <w:rFonts w:ascii="PermianSerifTypeface" w:hAnsi="PermianSerifTypeface"/>
          <w:lang w:val="en-GB"/>
        </w:rPr>
        <w:t>within one working day of the date of</w:t>
      </w:r>
      <w:r w:rsidR="00A12FB8" w:rsidRPr="00D66EE5">
        <w:rPr>
          <w:rFonts w:ascii="PermianSerifTypeface" w:hAnsi="PermianSerifTypeface"/>
          <w:lang w:val="en-GB"/>
        </w:rPr>
        <w:t xml:space="preserve"> such decision</w:t>
      </w:r>
      <w:r w:rsidRPr="00D66EE5">
        <w:rPr>
          <w:rFonts w:ascii="PermianSerifTypeface" w:hAnsi="PermianSerifTypeface"/>
          <w:lang w:val="en-GB"/>
        </w:rPr>
        <w:t>;</w:t>
      </w:r>
    </w:p>
    <w:p w14:paraId="56C20717" w14:textId="456897D7" w:rsidR="00482551" w:rsidRPr="00D66EE5" w:rsidRDefault="00482551" w:rsidP="00482551">
      <w:pPr>
        <w:pStyle w:val="ListParagraph"/>
        <w:tabs>
          <w:tab w:val="left" w:pos="1134"/>
        </w:tabs>
        <w:ind w:left="1134" w:hanging="414"/>
        <w:jc w:val="both"/>
        <w:rPr>
          <w:rFonts w:ascii="PermianSerifTypeface" w:hAnsi="PermianSerifTypeface"/>
          <w:lang w:val="en-GB"/>
        </w:rPr>
      </w:pPr>
      <w:r w:rsidRPr="00D66EE5">
        <w:rPr>
          <w:rFonts w:ascii="PermianSerifTypeface" w:hAnsi="PermianSerifTypeface"/>
          <w:lang w:val="en-GB"/>
        </w:rPr>
        <w:t xml:space="preserve">2) </w:t>
      </w:r>
      <w:r w:rsidRPr="00D66EE5">
        <w:rPr>
          <w:rFonts w:ascii="PermianSerifTypeface" w:hAnsi="PermianSerifTypeface"/>
          <w:lang w:val="en-GB"/>
        </w:rPr>
        <w:tab/>
      </w:r>
      <w:r w:rsidR="00A12FB8" w:rsidRPr="00D66EE5">
        <w:rPr>
          <w:rFonts w:ascii="PermianSerifTypeface" w:hAnsi="PermianSerifTypeface"/>
          <w:lang w:val="en-GB"/>
        </w:rPr>
        <w:t>provide</w:t>
      </w:r>
      <w:r w:rsidRPr="00D66EE5">
        <w:rPr>
          <w:rFonts w:ascii="PermianSerifTypeface" w:hAnsi="PermianSerifTypeface"/>
          <w:lang w:val="en-GB"/>
        </w:rPr>
        <w:t xml:space="preserve"> access codes and passwords for the users designated by the Participant to the </w:t>
      </w:r>
      <w:r w:rsidR="000325B4" w:rsidRPr="00D66EE5">
        <w:rPr>
          <w:rFonts w:ascii="PermianSerifTypeface" w:hAnsi="PermianSerifTypeface"/>
          <w:lang w:val="en-GB"/>
        </w:rPr>
        <w:t xml:space="preserve">Single </w:t>
      </w:r>
      <w:r w:rsidRPr="00D66EE5">
        <w:rPr>
          <w:rFonts w:ascii="PermianSerifTypeface" w:hAnsi="PermianSerifTypeface"/>
          <w:lang w:val="en-GB"/>
        </w:rPr>
        <w:t xml:space="preserve">Central </w:t>
      </w:r>
      <w:r w:rsidR="00005C92" w:rsidRPr="00D66EE5">
        <w:rPr>
          <w:rFonts w:ascii="PermianSerifTypeface" w:hAnsi="PermianSerifTypeface"/>
          <w:lang w:val="en-GB"/>
        </w:rPr>
        <w:t>Depository</w:t>
      </w:r>
      <w:r w:rsidRPr="00D66EE5">
        <w:rPr>
          <w:rFonts w:ascii="PermianSerifTypeface" w:hAnsi="PermianSerifTypeface"/>
          <w:lang w:val="en-GB"/>
        </w:rPr>
        <w:t xml:space="preserve"> System in accordance with </w:t>
      </w:r>
      <w:r w:rsidR="00A12FB8" w:rsidRPr="00D66EE5">
        <w:rPr>
          <w:rFonts w:ascii="PermianSerifTypeface" w:hAnsi="PermianSerifTypeface"/>
          <w:lang w:val="en-GB"/>
        </w:rPr>
        <w:t xml:space="preserve">the </w:t>
      </w:r>
      <w:r w:rsidR="000325B4" w:rsidRPr="00D66EE5">
        <w:rPr>
          <w:rFonts w:ascii="PermianSerifTypeface" w:hAnsi="PermianSerifTypeface"/>
          <w:lang w:val="en-GB"/>
        </w:rPr>
        <w:t xml:space="preserve">Single </w:t>
      </w:r>
      <w:r w:rsidR="00A12FB8" w:rsidRPr="00D66EE5">
        <w:rPr>
          <w:rFonts w:ascii="PermianSerifTypeface" w:hAnsi="PermianSerifTypeface"/>
          <w:lang w:val="en-GB"/>
        </w:rPr>
        <w:t>Central Depository Rules</w:t>
      </w:r>
      <w:r w:rsidR="00005C92" w:rsidRPr="00D66EE5">
        <w:rPr>
          <w:rFonts w:ascii="PermianSerifTypeface" w:hAnsi="PermianSerifTypeface"/>
          <w:lang w:val="en-GB"/>
        </w:rPr>
        <w:t>,</w:t>
      </w:r>
      <w:r w:rsidR="00A12FB8" w:rsidRPr="00D66EE5">
        <w:rPr>
          <w:rFonts w:ascii="PermianSerifTypeface" w:hAnsi="PermianSerifTypeface"/>
          <w:lang w:val="en-GB"/>
        </w:rPr>
        <w:t xml:space="preserve"> as well as</w:t>
      </w:r>
      <w:r w:rsidRPr="00D66EE5">
        <w:rPr>
          <w:rFonts w:ascii="PermianSerifTypeface" w:hAnsi="PermianSerifTypeface"/>
          <w:lang w:val="en-GB"/>
        </w:rPr>
        <w:t xml:space="preserve"> provide necessary software for accessing the system (</w:t>
      </w:r>
      <w:r w:rsidR="00005C92" w:rsidRPr="00D66EE5">
        <w:rPr>
          <w:rFonts w:ascii="PermianSerifTypeface" w:hAnsi="PermianSerifTypeface"/>
          <w:lang w:val="en-GB"/>
        </w:rPr>
        <w:t>C</w:t>
      </w:r>
      <w:r w:rsidRPr="00D66EE5">
        <w:rPr>
          <w:rFonts w:ascii="PermianSerifTypeface" w:hAnsi="PermianSerifTypeface"/>
          <w:lang w:val="en-GB"/>
        </w:rPr>
        <w:t>lient application);</w:t>
      </w:r>
    </w:p>
    <w:p w14:paraId="307B8DF6" w14:textId="770283D5" w:rsidR="00482551" w:rsidRPr="00D66EE5" w:rsidRDefault="00482551" w:rsidP="00482551">
      <w:pPr>
        <w:pStyle w:val="ListParagraph"/>
        <w:tabs>
          <w:tab w:val="left" w:pos="1134"/>
        </w:tabs>
        <w:ind w:left="1134" w:hanging="414"/>
        <w:jc w:val="both"/>
        <w:rPr>
          <w:rFonts w:ascii="PermianSerifTypeface" w:hAnsi="PermianSerifTypeface"/>
          <w:lang w:val="en-GB"/>
        </w:rPr>
      </w:pPr>
      <w:r w:rsidRPr="00D66EE5">
        <w:rPr>
          <w:rFonts w:ascii="PermianSerifTypeface" w:hAnsi="PermianSerifTypeface"/>
          <w:lang w:val="en-GB"/>
        </w:rPr>
        <w:t xml:space="preserve">3) </w:t>
      </w:r>
      <w:r w:rsidRPr="00D66EE5">
        <w:rPr>
          <w:rFonts w:ascii="PermianSerifTypeface" w:hAnsi="PermianSerifTypeface"/>
          <w:lang w:val="en-GB"/>
        </w:rPr>
        <w:tab/>
      </w:r>
      <w:r w:rsidR="00D10D97" w:rsidRPr="00D66EE5">
        <w:rPr>
          <w:rFonts w:ascii="PermianSerifTypeface" w:hAnsi="PermianSerifTypeface"/>
          <w:lang w:val="en-GB"/>
        </w:rPr>
        <w:t xml:space="preserve">inform the </w:t>
      </w:r>
      <w:r w:rsidR="00005C92" w:rsidRPr="00D66EE5">
        <w:rPr>
          <w:rFonts w:ascii="PermianSerifTypeface" w:hAnsi="PermianSerifTypeface"/>
          <w:lang w:val="en-GB"/>
        </w:rPr>
        <w:t>P</w:t>
      </w:r>
      <w:r w:rsidR="00D10D97" w:rsidRPr="00D66EE5">
        <w:rPr>
          <w:rFonts w:ascii="PermianSerifTypeface" w:hAnsi="PermianSerifTypeface"/>
          <w:lang w:val="en-GB"/>
        </w:rPr>
        <w:t>articipant about the decision of t</w:t>
      </w:r>
      <w:r w:rsidRPr="00D66EE5">
        <w:rPr>
          <w:rFonts w:ascii="PermianSerifTypeface" w:hAnsi="PermianSerifTypeface"/>
          <w:lang w:val="en-GB"/>
        </w:rPr>
        <w:t xml:space="preserve">he Executive </w:t>
      </w:r>
      <w:r w:rsidR="00D10D97" w:rsidRPr="00D66EE5">
        <w:rPr>
          <w:rFonts w:ascii="PermianSerifTypeface" w:hAnsi="PermianSerifTypeface"/>
          <w:lang w:val="en-GB"/>
        </w:rPr>
        <w:t>Board</w:t>
      </w:r>
      <w:r w:rsidRPr="00D66EE5">
        <w:rPr>
          <w:rFonts w:ascii="PermianSerifTypeface" w:hAnsi="PermianSerifTypeface"/>
          <w:lang w:val="en-GB"/>
        </w:rPr>
        <w:t xml:space="preserve"> of the </w:t>
      </w:r>
      <w:r w:rsidR="000325B4" w:rsidRPr="00D66EE5">
        <w:rPr>
          <w:rFonts w:ascii="PermianSerifTypeface" w:hAnsi="PermianSerifTypeface"/>
          <w:lang w:val="en-GB"/>
        </w:rPr>
        <w:t xml:space="preserve">Single </w:t>
      </w:r>
      <w:r w:rsidRPr="00D66EE5">
        <w:rPr>
          <w:rFonts w:ascii="PermianSerifTypeface" w:hAnsi="PermianSerifTypeface"/>
          <w:lang w:val="en-GB"/>
        </w:rPr>
        <w:t xml:space="preserve">Central Depository </w:t>
      </w:r>
      <w:r w:rsidR="00D10D97" w:rsidRPr="00D66EE5">
        <w:rPr>
          <w:rFonts w:ascii="PermianSerifTypeface" w:hAnsi="PermianSerifTypeface"/>
          <w:lang w:val="en-GB"/>
        </w:rPr>
        <w:t xml:space="preserve">taken with regard to </w:t>
      </w:r>
      <w:r w:rsidRPr="00D66EE5">
        <w:rPr>
          <w:rFonts w:ascii="PermianSerifTypeface" w:hAnsi="PermianSerifTypeface"/>
          <w:lang w:val="en-GB"/>
        </w:rPr>
        <w:t>the date</w:t>
      </w:r>
      <w:r w:rsidR="00D10D97" w:rsidRPr="00D66EE5">
        <w:rPr>
          <w:rFonts w:ascii="PermianSerifTypeface" w:hAnsi="PermianSerifTypeface"/>
          <w:lang w:val="en-GB"/>
        </w:rPr>
        <w:t xml:space="preserve"> on which the </w:t>
      </w:r>
      <w:r w:rsidR="00005C92" w:rsidRPr="00D66EE5">
        <w:rPr>
          <w:rFonts w:ascii="PermianSerifTypeface" w:hAnsi="PermianSerifTypeface"/>
          <w:lang w:val="en-GB"/>
        </w:rPr>
        <w:t>P</w:t>
      </w:r>
      <w:r w:rsidR="00D10D97" w:rsidRPr="00D66EE5">
        <w:rPr>
          <w:rFonts w:ascii="PermianSerifTypeface" w:hAnsi="PermianSerifTypeface"/>
          <w:lang w:val="en-GB"/>
        </w:rPr>
        <w:t>articipant can</w:t>
      </w:r>
      <w:r w:rsidRPr="00D66EE5">
        <w:rPr>
          <w:rFonts w:ascii="PermianSerifTypeface" w:hAnsi="PermianSerifTypeface"/>
          <w:lang w:val="en-GB"/>
        </w:rPr>
        <w:t xml:space="preserve"> commence</w:t>
      </w:r>
      <w:r w:rsidR="00D10D97" w:rsidRPr="00D66EE5">
        <w:rPr>
          <w:rFonts w:ascii="PermianSerifTypeface" w:hAnsi="PermianSerifTypeface"/>
          <w:lang w:val="en-GB"/>
        </w:rPr>
        <w:t xml:space="preserve"> </w:t>
      </w:r>
      <w:r w:rsidR="0011428B" w:rsidRPr="00D66EE5">
        <w:rPr>
          <w:rFonts w:ascii="PermianSerifTypeface" w:hAnsi="PermianSerifTypeface"/>
          <w:lang w:val="en-GB"/>
        </w:rPr>
        <w:t xml:space="preserve">to carry out </w:t>
      </w:r>
      <w:r w:rsidR="00005C92" w:rsidRPr="00D66EE5">
        <w:rPr>
          <w:rFonts w:ascii="PermianSerifTypeface" w:hAnsi="PermianSerifTypeface"/>
          <w:lang w:val="en-GB"/>
        </w:rPr>
        <w:t>its</w:t>
      </w:r>
      <w:r w:rsidRPr="00D66EE5">
        <w:rPr>
          <w:rFonts w:ascii="PermianSerifTypeface" w:hAnsi="PermianSerifTypeface"/>
          <w:lang w:val="en-GB"/>
        </w:rPr>
        <w:t xml:space="preserve"> operations </w:t>
      </w:r>
      <w:r w:rsidR="00D10D97" w:rsidRPr="00D66EE5">
        <w:rPr>
          <w:rFonts w:ascii="PermianSerifTypeface" w:hAnsi="PermianSerifTypeface"/>
          <w:lang w:val="en-GB"/>
        </w:rPr>
        <w:t>in</w:t>
      </w:r>
      <w:r w:rsidRPr="00D66EE5">
        <w:rPr>
          <w:rFonts w:ascii="PermianSerifTypeface" w:hAnsi="PermianSerifTypeface"/>
          <w:lang w:val="en-GB"/>
        </w:rPr>
        <w:t xml:space="preserve"> 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 S</w:t>
      </w:r>
      <w:r w:rsidR="00D10D97" w:rsidRPr="00D66EE5">
        <w:rPr>
          <w:rFonts w:ascii="PermianSerifTypeface" w:hAnsi="PermianSerifTypeface"/>
          <w:lang w:val="en-GB"/>
        </w:rPr>
        <w:t>ystem</w:t>
      </w:r>
      <w:r w:rsidRPr="00D66EE5">
        <w:rPr>
          <w:rFonts w:ascii="PermianSerifTypeface" w:hAnsi="PermianSerifTypeface"/>
          <w:lang w:val="en-GB"/>
        </w:rPr>
        <w:t>.</w:t>
      </w:r>
    </w:p>
    <w:p w14:paraId="46975353" w14:textId="0073E83F" w:rsidR="00482551" w:rsidRDefault="00F65200" w:rsidP="00482551">
      <w:pPr>
        <w:pStyle w:val="ListParagraph"/>
        <w:tabs>
          <w:tab w:val="left" w:pos="1134"/>
        </w:tabs>
        <w:jc w:val="both"/>
        <w:rPr>
          <w:rFonts w:ascii="PermianSerifTypeface" w:hAnsi="PermianSerifTypeface"/>
          <w:bCs/>
          <w:i/>
          <w:noProof/>
          <w:sz w:val="16"/>
          <w:szCs w:val="16"/>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13</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79A161A5" w14:textId="77777777" w:rsidR="00F65200" w:rsidRPr="00D66EE5" w:rsidRDefault="00F65200" w:rsidP="00482551">
      <w:pPr>
        <w:pStyle w:val="ListParagraph"/>
        <w:tabs>
          <w:tab w:val="left" w:pos="1134"/>
        </w:tabs>
        <w:jc w:val="both"/>
        <w:rPr>
          <w:rFonts w:ascii="PermianSerifTypeface" w:hAnsi="PermianSerifTypeface"/>
          <w:lang w:val="en-GB"/>
        </w:rPr>
      </w:pPr>
    </w:p>
    <w:p w14:paraId="6AB99F4D" w14:textId="146C3CD0" w:rsidR="00A142DF" w:rsidRPr="00D66EE5" w:rsidRDefault="00A142DF" w:rsidP="00B17F06">
      <w:pPr>
        <w:tabs>
          <w:tab w:val="left" w:pos="1134"/>
        </w:tabs>
        <w:jc w:val="center"/>
        <w:rPr>
          <w:rFonts w:ascii="PermianSerifTypeface" w:hAnsi="PermianSerifTypeface"/>
          <w:b/>
          <w:bCs/>
          <w:lang w:val="en-GB"/>
        </w:rPr>
      </w:pPr>
      <w:r w:rsidRPr="00D66EE5">
        <w:rPr>
          <w:rFonts w:ascii="PermianSerifTypeface" w:hAnsi="PermianSerifTypeface"/>
          <w:b/>
          <w:bCs/>
          <w:lang w:val="en-GB"/>
        </w:rPr>
        <w:t>C</w:t>
      </w:r>
      <w:r w:rsidR="00D364DA" w:rsidRPr="00D66EE5">
        <w:rPr>
          <w:rFonts w:ascii="PermianSerifTypeface" w:hAnsi="PermianSerifTypeface"/>
          <w:b/>
          <w:bCs/>
          <w:lang w:val="en-GB"/>
        </w:rPr>
        <w:t>HAPTER</w:t>
      </w:r>
      <w:r w:rsidRPr="00D66EE5">
        <w:rPr>
          <w:rFonts w:ascii="PermianSerifTypeface" w:hAnsi="PermianSerifTypeface"/>
          <w:b/>
          <w:bCs/>
          <w:lang w:val="en-GB"/>
        </w:rPr>
        <w:t xml:space="preserve"> III</w:t>
      </w:r>
    </w:p>
    <w:p w14:paraId="6E2130D9" w14:textId="58D89F1A" w:rsidR="00A142DF" w:rsidRPr="00D66EE5" w:rsidRDefault="00EA0FED" w:rsidP="00B17F06">
      <w:pPr>
        <w:tabs>
          <w:tab w:val="left" w:pos="1134"/>
        </w:tabs>
        <w:jc w:val="center"/>
        <w:rPr>
          <w:rFonts w:ascii="PermianSerifTypeface" w:hAnsi="PermianSerifTypeface"/>
          <w:lang w:val="en-GB"/>
        </w:rPr>
      </w:pPr>
      <w:r w:rsidRPr="00D66EE5">
        <w:rPr>
          <w:rFonts w:ascii="PermianSerifTypeface" w:hAnsi="PermianSerifTypeface"/>
          <w:b/>
          <w:lang w:val="en-GB"/>
        </w:rPr>
        <w:t xml:space="preserve">Suspending the right of participation in the </w:t>
      </w:r>
      <w:r w:rsidR="000325B4" w:rsidRPr="00D66EE5">
        <w:rPr>
          <w:rFonts w:ascii="PermianSerifTypeface" w:hAnsi="PermianSerifTypeface"/>
          <w:b/>
          <w:lang w:val="en-GB"/>
        </w:rPr>
        <w:t xml:space="preserve">Single </w:t>
      </w:r>
      <w:r w:rsidRPr="00D66EE5">
        <w:rPr>
          <w:rFonts w:ascii="PermianSerifTypeface" w:hAnsi="PermianSerifTypeface"/>
          <w:b/>
          <w:lang w:val="en-GB"/>
        </w:rPr>
        <w:t xml:space="preserve">Central </w:t>
      </w:r>
      <w:r w:rsidR="00152C09" w:rsidRPr="00D66EE5">
        <w:rPr>
          <w:rFonts w:ascii="PermianSerifTypeface" w:hAnsi="PermianSerifTypeface"/>
          <w:b/>
          <w:lang w:val="en-GB"/>
        </w:rPr>
        <w:t>Depository</w:t>
      </w:r>
    </w:p>
    <w:p w14:paraId="0A5BF9E9" w14:textId="73DC028B" w:rsidR="00A142DF" w:rsidRPr="00D66EE5" w:rsidRDefault="0011428B" w:rsidP="00152C09">
      <w:pPr>
        <w:pStyle w:val="ListParagraph"/>
        <w:numPr>
          <w:ilvl w:val="0"/>
          <w:numId w:val="6"/>
        </w:numPr>
        <w:tabs>
          <w:tab w:val="left" w:pos="1134"/>
        </w:tabs>
        <w:ind w:left="0" w:firstLine="709"/>
        <w:jc w:val="both"/>
        <w:rPr>
          <w:rFonts w:ascii="PermianSerifTypeface" w:hAnsi="PermianSerifTypeface"/>
          <w:b/>
          <w:lang w:val="en-GB"/>
        </w:rPr>
      </w:pPr>
      <w:r w:rsidRPr="00D66EE5">
        <w:rPr>
          <w:rFonts w:ascii="PermianSerifTypeface" w:hAnsi="PermianSerifTypeface"/>
          <w:lang w:val="en-GB"/>
        </w:rPr>
        <w:t>The s</w:t>
      </w:r>
      <w:r w:rsidR="00152C09" w:rsidRPr="00D66EE5">
        <w:rPr>
          <w:rFonts w:ascii="PermianSerifTypeface" w:hAnsi="PermianSerifTypeface"/>
          <w:lang w:val="en-GB"/>
        </w:rPr>
        <w:t xml:space="preserve">uspension of the right of participation in the </w:t>
      </w:r>
      <w:r w:rsidR="000325B4" w:rsidRPr="00D66EE5">
        <w:rPr>
          <w:rFonts w:ascii="PermianSerifTypeface" w:hAnsi="PermianSerifTypeface"/>
          <w:lang w:val="en-GB"/>
        </w:rPr>
        <w:t xml:space="preserve">Single </w:t>
      </w:r>
      <w:r w:rsidR="00152C09" w:rsidRPr="00D66EE5">
        <w:rPr>
          <w:rFonts w:ascii="PermianSerifTypeface" w:hAnsi="PermianSerifTypeface"/>
          <w:lang w:val="en-GB"/>
        </w:rPr>
        <w:t xml:space="preserve">Central </w:t>
      </w:r>
      <w:r w:rsidR="00005C92" w:rsidRPr="00D66EE5">
        <w:rPr>
          <w:rFonts w:ascii="PermianSerifTypeface" w:hAnsi="PermianSerifTypeface"/>
          <w:lang w:val="en-GB"/>
        </w:rPr>
        <w:t>Depository</w:t>
      </w:r>
      <w:r w:rsidR="00152C09" w:rsidRPr="00D66EE5">
        <w:rPr>
          <w:rFonts w:ascii="PermianSerifTypeface" w:hAnsi="PermianSerifTypeface"/>
          <w:lang w:val="en-GB"/>
        </w:rPr>
        <w:t xml:space="preserve"> may take place in the following cases</w:t>
      </w:r>
      <w:r w:rsidR="00A142DF" w:rsidRPr="00D66EE5">
        <w:rPr>
          <w:rFonts w:ascii="PermianSerifTypeface" w:hAnsi="PermianSerifTypeface"/>
          <w:lang w:val="en-GB"/>
        </w:rPr>
        <w:t>:</w:t>
      </w:r>
    </w:p>
    <w:p w14:paraId="058F038A" w14:textId="197221B4" w:rsidR="00A142DF" w:rsidRPr="00D66EE5" w:rsidRDefault="00152C09" w:rsidP="00152C09">
      <w:pPr>
        <w:pStyle w:val="ListParagraph"/>
        <w:numPr>
          <w:ilvl w:val="1"/>
          <w:numId w:val="6"/>
        </w:numPr>
        <w:tabs>
          <w:tab w:val="left" w:pos="1134"/>
        </w:tabs>
        <w:ind w:left="1134" w:hanging="425"/>
        <w:jc w:val="both"/>
        <w:rPr>
          <w:rFonts w:ascii="PermianSerifTypeface" w:hAnsi="PermianSerifTypeface"/>
          <w:b/>
          <w:lang w:val="en-GB"/>
        </w:rPr>
      </w:pPr>
      <w:r w:rsidRPr="00D66EE5">
        <w:rPr>
          <w:rFonts w:ascii="PermianSerifTypeface" w:hAnsi="PermianSerifTypeface"/>
          <w:lang w:val="en-GB"/>
        </w:rPr>
        <w:t>at the Participant’s request (shall indicate the reason</w:t>
      </w:r>
      <w:r w:rsidR="0011428B" w:rsidRPr="00D66EE5">
        <w:rPr>
          <w:rFonts w:ascii="PermianSerifTypeface" w:hAnsi="PermianSerifTypeface"/>
          <w:lang w:val="en-GB"/>
        </w:rPr>
        <w:t>s</w:t>
      </w:r>
      <w:r w:rsidRPr="00D66EE5">
        <w:rPr>
          <w:rFonts w:ascii="PermianSerifTypeface" w:hAnsi="PermianSerifTypeface"/>
          <w:lang w:val="en-GB"/>
        </w:rPr>
        <w:t xml:space="preserve">), specifying the date from which the suspension of the right of participation in 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 is requested</w:t>
      </w:r>
      <w:r w:rsidR="00A142DF" w:rsidRPr="00D66EE5">
        <w:rPr>
          <w:rFonts w:ascii="PermianSerifTypeface" w:hAnsi="PermianSerifTypeface"/>
          <w:lang w:val="en-GB"/>
        </w:rPr>
        <w:t>;</w:t>
      </w:r>
    </w:p>
    <w:p w14:paraId="53803430" w14:textId="781CF160" w:rsidR="00152C09" w:rsidRPr="00D66EE5" w:rsidRDefault="00152C09" w:rsidP="0011428B">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as a result of the Participant's violation of the provisions of this Regulation, the </w:t>
      </w:r>
      <w:r w:rsidR="000325B4" w:rsidRPr="00D66EE5">
        <w:rPr>
          <w:rFonts w:ascii="PermianSerifTypeface" w:hAnsi="PermianSerifTypeface"/>
          <w:lang w:val="en-GB"/>
        </w:rPr>
        <w:t xml:space="preserve">Single </w:t>
      </w:r>
      <w:r w:rsidRPr="00D66EE5">
        <w:rPr>
          <w:rFonts w:ascii="PermianSerifTypeface" w:hAnsi="PermianSerifTypeface"/>
          <w:lang w:val="en-GB"/>
        </w:rPr>
        <w:t xml:space="preserve">Central Depository Rules, including the provisions of the contract concluded with the </w:t>
      </w:r>
      <w:r w:rsidR="000325B4" w:rsidRPr="00D66EE5">
        <w:rPr>
          <w:rFonts w:ascii="PermianSerifTypeface" w:hAnsi="PermianSerifTypeface"/>
          <w:lang w:val="en-GB"/>
        </w:rPr>
        <w:t xml:space="preserve">Single </w:t>
      </w:r>
      <w:r w:rsidRPr="00D66EE5">
        <w:rPr>
          <w:rFonts w:ascii="PermianSerifTypeface" w:hAnsi="PermianSerifTypeface"/>
          <w:lang w:val="en-GB"/>
        </w:rPr>
        <w:t xml:space="preserve">Central </w:t>
      </w:r>
      <w:r w:rsidR="00005C92" w:rsidRPr="00D66EE5">
        <w:rPr>
          <w:rFonts w:ascii="PermianSerifTypeface" w:hAnsi="PermianSerifTypeface"/>
          <w:lang w:val="en-GB"/>
        </w:rPr>
        <w:t>Depository</w:t>
      </w:r>
      <w:r w:rsidR="00F527A8" w:rsidRPr="00D66EE5">
        <w:rPr>
          <w:rFonts w:ascii="PermianSerifTypeface" w:hAnsi="PermianSerifTypeface"/>
          <w:lang w:val="en-GB"/>
        </w:rPr>
        <w:t>;</w:t>
      </w:r>
    </w:p>
    <w:p w14:paraId="0E3B5CF7" w14:textId="0C218795" w:rsidR="00F527A8" w:rsidRPr="00D66EE5" w:rsidRDefault="00F527A8" w:rsidP="0011428B">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 xml:space="preserve">the failure of the Participant to fulfil its payment obligations for the services rendered by the </w:t>
      </w:r>
      <w:r w:rsidR="000325B4" w:rsidRPr="00D66EE5">
        <w:rPr>
          <w:rFonts w:ascii="PermianSerifTypeface" w:hAnsi="PermianSerifTypeface"/>
          <w:lang w:val="en-GB"/>
        </w:rPr>
        <w:t xml:space="preserve">Single </w:t>
      </w:r>
      <w:r w:rsidRPr="00D66EE5">
        <w:rPr>
          <w:rFonts w:ascii="PermianSerifTypeface" w:hAnsi="PermianSerifTypeface"/>
          <w:lang w:val="en-GB"/>
        </w:rPr>
        <w:t xml:space="preserve">Central </w:t>
      </w:r>
      <w:r w:rsidR="00005C92" w:rsidRPr="00D66EE5">
        <w:rPr>
          <w:rFonts w:ascii="PermianSerifTypeface" w:hAnsi="PermianSerifTypeface"/>
          <w:lang w:val="en-GB"/>
        </w:rPr>
        <w:t>Depository</w:t>
      </w:r>
      <w:r w:rsidRPr="00D66EE5">
        <w:rPr>
          <w:rFonts w:ascii="PermianSerifTypeface" w:hAnsi="PermianSerifTypeface"/>
          <w:lang w:val="en-GB"/>
        </w:rPr>
        <w:t xml:space="preserve"> or its settlement obligations, established in accordance with the </w:t>
      </w:r>
      <w:r w:rsidR="000325B4" w:rsidRPr="00D66EE5">
        <w:rPr>
          <w:rFonts w:ascii="PermianSerifTypeface" w:hAnsi="PermianSerifTypeface"/>
          <w:lang w:val="en-GB"/>
        </w:rPr>
        <w:t xml:space="preserve">Single </w:t>
      </w:r>
      <w:r w:rsidRPr="00D66EE5">
        <w:rPr>
          <w:rFonts w:ascii="PermianSerifTypeface" w:hAnsi="PermianSerifTypeface"/>
          <w:lang w:val="en-GB"/>
        </w:rPr>
        <w:t>Central Depository Rules;</w:t>
      </w:r>
    </w:p>
    <w:p w14:paraId="7A0660F9" w14:textId="4B0BCE10" w:rsidR="00F527A8" w:rsidRPr="00D66EE5" w:rsidRDefault="00F527A8" w:rsidP="0011428B">
      <w:pPr>
        <w:pStyle w:val="ListParagraph"/>
        <w:numPr>
          <w:ilvl w:val="1"/>
          <w:numId w:val="6"/>
        </w:numPr>
        <w:tabs>
          <w:tab w:val="left" w:pos="1134"/>
        </w:tabs>
        <w:ind w:left="1134" w:hanging="425"/>
        <w:jc w:val="both"/>
        <w:rPr>
          <w:rFonts w:ascii="PermianSerifTypeface" w:hAnsi="PermianSerifTypeface"/>
          <w:lang w:val="en-GB"/>
        </w:rPr>
      </w:pPr>
      <w:r w:rsidRPr="00D66EE5">
        <w:rPr>
          <w:rFonts w:ascii="PermianSerifTypeface" w:hAnsi="PermianSerifTypeface"/>
          <w:lang w:val="en-GB"/>
        </w:rPr>
        <w:t>in the event that it was found that the Participant submitted documents and information containing incomplete, contradictory, inaccurate or insufficient data;</w:t>
      </w:r>
    </w:p>
    <w:p w14:paraId="7A8774C4" w14:textId="70FE7F1C" w:rsidR="00F527A8" w:rsidRPr="00F65200" w:rsidRDefault="001A4313" w:rsidP="0011428B">
      <w:pPr>
        <w:pStyle w:val="ListParagraph"/>
        <w:numPr>
          <w:ilvl w:val="1"/>
          <w:numId w:val="6"/>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 xml:space="preserve">as a result of the suspension of the license/authorization </w:t>
      </w:r>
      <w:r w:rsidR="004E2036">
        <w:rPr>
          <w:rFonts w:ascii="PermianSerifTypeface" w:hAnsi="PermianSerifTypeface"/>
          <w:lang w:val="en-GB"/>
        </w:rPr>
        <w:t>certificate</w:t>
      </w:r>
      <w:r w:rsidR="004E2036" w:rsidRPr="00F65200">
        <w:rPr>
          <w:rFonts w:ascii="PermianSerifTypeface" w:hAnsi="PermianSerifTypeface"/>
          <w:lang w:val="en-GB"/>
        </w:rPr>
        <w:t xml:space="preserve"> </w:t>
      </w:r>
      <w:r w:rsidRPr="00F65200">
        <w:rPr>
          <w:rFonts w:ascii="PermianSerifTypeface" w:hAnsi="PermianSerifTypeface"/>
          <w:lang w:val="en-GB"/>
        </w:rPr>
        <w:t>issued by the competent authority in the Participant's state</w:t>
      </w:r>
      <w:r w:rsidR="004E2036">
        <w:rPr>
          <w:rFonts w:ascii="PermianSerifTypeface" w:hAnsi="PermianSerifTypeface"/>
          <w:lang w:val="en-GB"/>
        </w:rPr>
        <w:t xml:space="preserve"> of </w:t>
      </w:r>
      <w:r w:rsidR="004E2036" w:rsidRPr="00F65200">
        <w:rPr>
          <w:rFonts w:ascii="PermianSerifTypeface" w:hAnsi="PermianSerifTypeface"/>
          <w:lang w:val="en-GB"/>
        </w:rPr>
        <w:t>origin</w:t>
      </w:r>
      <w:r w:rsidRPr="00F65200">
        <w:rPr>
          <w:rFonts w:ascii="PermianSerifTypeface" w:hAnsi="PermianSerifTypeface"/>
          <w:lang w:val="en-GB"/>
        </w:rPr>
        <w:t>, as the case may be, for the entities established by point 4 subpoint 1)-4), 6) and 7</w:t>
      </w:r>
      <w:r w:rsidR="00F527A8" w:rsidRPr="00F65200">
        <w:rPr>
          <w:rFonts w:ascii="PermianSerifTypeface" w:hAnsi="PermianSerifTypeface"/>
          <w:lang w:val="en-GB"/>
        </w:rPr>
        <w:t>);</w:t>
      </w:r>
    </w:p>
    <w:p w14:paraId="34134961" w14:textId="3F2BEFF4" w:rsidR="00C165EA" w:rsidRDefault="00C165EA" w:rsidP="0011428B">
      <w:pPr>
        <w:pStyle w:val="ListParagraph"/>
        <w:numPr>
          <w:ilvl w:val="1"/>
          <w:numId w:val="6"/>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 xml:space="preserve">whenever </w:t>
      </w:r>
      <w:r w:rsidR="0011428B" w:rsidRPr="00F65200">
        <w:rPr>
          <w:rFonts w:ascii="PermianSerifTypeface" w:hAnsi="PermianSerifTypeface"/>
          <w:lang w:val="en-GB"/>
        </w:rPr>
        <w:t>a</w:t>
      </w:r>
      <w:r w:rsidRPr="00F65200">
        <w:rPr>
          <w:rFonts w:ascii="PermianSerifTypeface" w:hAnsi="PermianSerifTypeface"/>
          <w:lang w:val="en-GB"/>
        </w:rPr>
        <w:t xml:space="preserve"> Participant does not meet eligibility requirements, set forth in the </w:t>
      </w:r>
      <w:r w:rsidR="001A4313" w:rsidRPr="00F65200">
        <w:rPr>
          <w:rFonts w:ascii="PermianSerifTypeface" w:hAnsi="PermianSerifTypeface"/>
          <w:lang w:val="en-GB"/>
        </w:rPr>
        <w:t xml:space="preserve">Single </w:t>
      </w:r>
      <w:r w:rsidRPr="00F65200">
        <w:rPr>
          <w:rFonts w:ascii="PermianSerifTypeface" w:hAnsi="PermianSerifTypeface"/>
          <w:lang w:val="en-GB"/>
        </w:rPr>
        <w:t>Central Depository Rules.</w:t>
      </w:r>
    </w:p>
    <w:p w14:paraId="13A13025" w14:textId="5FBE3D6F" w:rsidR="00F65200" w:rsidRPr="00F65200" w:rsidRDefault="00F65200" w:rsidP="00F65200">
      <w:pPr>
        <w:pStyle w:val="ListParagraph"/>
        <w:tabs>
          <w:tab w:val="left" w:pos="1134"/>
        </w:tabs>
        <w:ind w:left="1134"/>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14</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1893F626" w14:textId="2047AE88" w:rsidR="00A142DF" w:rsidRDefault="00C165EA" w:rsidP="00C165EA">
      <w:pPr>
        <w:pStyle w:val="ListParagraph"/>
        <w:numPr>
          <w:ilvl w:val="0"/>
          <w:numId w:val="6"/>
        </w:numPr>
        <w:tabs>
          <w:tab w:val="left" w:pos="1134"/>
        </w:tabs>
        <w:ind w:left="0" w:firstLine="709"/>
        <w:jc w:val="both"/>
        <w:rPr>
          <w:rFonts w:ascii="PermianSerifTypeface" w:hAnsi="PermianSerifTypeface"/>
          <w:lang w:val="en-GB"/>
        </w:rPr>
      </w:pPr>
      <w:r w:rsidRPr="00F65200">
        <w:rPr>
          <w:rFonts w:ascii="PermianSerifTypeface" w:hAnsi="PermianSerifTypeface"/>
          <w:lang w:val="en-GB"/>
        </w:rPr>
        <w:t xml:space="preserve">In case the suspension of the right of participation in the </w:t>
      </w:r>
      <w:r w:rsidR="001A4313" w:rsidRPr="00F65200">
        <w:rPr>
          <w:rFonts w:ascii="PermianSerifTypeface" w:hAnsi="PermianSerifTypeface"/>
          <w:lang w:val="en-GB"/>
        </w:rPr>
        <w:t xml:space="preserve">Single </w:t>
      </w:r>
      <w:r w:rsidRPr="00F65200">
        <w:rPr>
          <w:rFonts w:ascii="PermianSerifTypeface" w:hAnsi="PermianSerifTypeface"/>
          <w:lang w:val="en-GB"/>
        </w:rPr>
        <w:t>Central Depository takes place based on the Participant’s request, the suspension period may not exceed 60 calendar days from the date of application of suspension</w:t>
      </w:r>
      <w:r w:rsidR="00A142DF" w:rsidRPr="00F65200">
        <w:rPr>
          <w:rFonts w:ascii="PermianSerifTypeface" w:hAnsi="PermianSerifTypeface"/>
          <w:lang w:val="en-GB"/>
        </w:rPr>
        <w:t>.</w:t>
      </w:r>
    </w:p>
    <w:p w14:paraId="78FF5DC3" w14:textId="000513D9" w:rsidR="00F65200" w:rsidRPr="00F65200"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15</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7BB7FC47" w14:textId="5DD726F3" w:rsidR="00C165EA" w:rsidRDefault="00C165EA" w:rsidP="00C165EA">
      <w:pPr>
        <w:pStyle w:val="ListParagraph"/>
        <w:numPr>
          <w:ilvl w:val="0"/>
          <w:numId w:val="6"/>
        </w:numPr>
        <w:tabs>
          <w:tab w:val="left" w:pos="1134"/>
        </w:tabs>
        <w:ind w:left="0" w:firstLine="709"/>
        <w:jc w:val="both"/>
        <w:rPr>
          <w:rFonts w:ascii="PermianSerifTypeface" w:hAnsi="PermianSerifTypeface"/>
          <w:lang w:val="en-GB"/>
        </w:rPr>
      </w:pPr>
      <w:r w:rsidRPr="00F65200">
        <w:rPr>
          <w:rFonts w:ascii="PermianSerifTypeface" w:hAnsi="PermianSerifTypeface"/>
          <w:lang w:val="en-GB"/>
        </w:rPr>
        <w:t xml:space="preserve">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w:t>
      </w:r>
      <w:r w:rsidR="00005C92" w:rsidRPr="00F65200">
        <w:rPr>
          <w:rFonts w:ascii="PermianSerifTypeface" w:hAnsi="PermianSerifTypeface"/>
          <w:lang w:val="en-GB"/>
        </w:rPr>
        <w:t>Depository</w:t>
      </w:r>
      <w:r w:rsidRPr="00F65200">
        <w:rPr>
          <w:rFonts w:ascii="PermianSerifTypeface" w:hAnsi="PermianSerifTypeface"/>
          <w:lang w:val="en-GB"/>
        </w:rPr>
        <w:t xml:space="preserve"> shall lay down in its Rules the steps </w:t>
      </w:r>
      <w:r w:rsidR="006235FF" w:rsidRPr="00F65200">
        <w:rPr>
          <w:rFonts w:ascii="PermianSerifTypeface" w:hAnsi="PermianSerifTypeface"/>
          <w:lang w:val="en-GB"/>
        </w:rPr>
        <w:t>to</w:t>
      </w:r>
      <w:r w:rsidRPr="00F65200">
        <w:rPr>
          <w:rFonts w:ascii="PermianSerifTypeface" w:hAnsi="PermianSerifTypeface"/>
          <w:lang w:val="en-GB"/>
        </w:rPr>
        <w:t xml:space="preserve"> be taken to suspend a Participant’s right of participation in 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w:t>
      </w:r>
      <w:r w:rsidR="00005C92" w:rsidRPr="00F65200">
        <w:rPr>
          <w:rFonts w:ascii="PermianSerifTypeface" w:hAnsi="PermianSerifTypeface"/>
          <w:lang w:val="en-GB"/>
        </w:rPr>
        <w:t>Depository</w:t>
      </w:r>
      <w:r w:rsidRPr="00F65200">
        <w:rPr>
          <w:rFonts w:ascii="PermianSerifTypeface" w:hAnsi="PermianSerifTypeface"/>
          <w:lang w:val="en-GB"/>
        </w:rPr>
        <w:t>.</w:t>
      </w:r>
    </w:p>
    <w:p w14:paraId="21FE1E2F" w14:textId="106F4CE7" w:rsidR="00F65200" w:rsidRPr="00F65200"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16</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6924180E" w14:textId="0B4CE321" w:rsidR="00C165EA" w:rsidRPr="00F65200" w:rsidRDefault="00C165EA" w:rsidP="00C165EA">
      <w:pPr>
        <w:pStyle w:val="ListParagraph"/>
        <w:numPr>
          <w:ilvl w:val="0"/>
          <w:numId w:val="6"/>
        </w:numPr>
        <w:tabs>
          <w:tab w:val="left" w:pos="1134"/>
        </w:tabs>
        <w:ind w:left="0" w:firstLine="709"/>
        <w:jc w:val="both"/>
        <w:rPr>
          <w:rFonts w:ascii="PermianSerifTypeface" w:hAnsi="PermianSerifTypeface"/>
          <w:lang w:val="en-GB"/>
        </w:rPr>
      </w:pPr>
      <w:r w:rsidRPr="00F65200">
        <w:rPr>
          <w:rFonts w:ascii="PermianSerifTypeface" w:hAnsi="PermianSerifTypeface"/>
          <w:lang w:val="en-GB"/>
        </w:rPr>
        <w:lastRenderedPageBreak/>
        <w:t xml:space="preserve">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w:t>
      </w:r>
      <w:r w:rsidR="00005C92" w:rsidRPr="00F65200">
        <w:rPr>
          <w:rFonts w:ascii="PermianSerifTypeface" w:hAnsi="PermianSerifTypeface"/>
          <w:lang w:val="en-GB"/>
        </w:rPr>
        <w:t>Depository</w:t>
      </w:r>
      <w:r w:rsidRPr="00F65200">
        <w:rPr>
          <w:rFonts w:ascii="PermianSerifTypeface" w:hAnsi="PermianSerifTypeface"/>
          <w:lang w:val="en-GB"/>
        </w:rPr>
        <w:t xml:space="preserve"> shall inform the NBM</w:t>
      </w:r>
      <w:r w:rsidR="001A4313" w:rsidRPr="00F65200">
        <w:rPr>
          <w:rFonts w:ascii="PermianSerifTypeface" w:hAnsi="PermianSerifTypeface"/>
        </w:rPr>
        <w:t xml:space="preserve"> </w:t>
      </w:r>
      <w:r w:rsidR="001A4313" w:rsidRPr="00F65200">
        <w:rPr>
          <w:rFonts w:ascii="PermianSerifTypeface" w:hAnsi="PermianSerifTypeface"/>
          <w:lang w:val="en-GB"/>
        </w:rPr>
        <w:t>and NCFM</w:t>
      </w:r>
      <w:r w:rsidRPr="00F65200">
        <w:rPr>
          <w:rFonts w:ascii="PermianSerifTypeface" w:hAnsi="PermianSerifTypeface"/>
          <w:lang w:val="en-GB"/>
        </w:rPr>
        <w:t xml:space="preserve"> in writing, within one working day of the date of application of </w:t>
      </w:r>
      <w:r w:rsidR="00122D15" w:rsidRPr="00F65200">
        <w:rPr>
          <w:rFonts w:ascii="PermianSerifTypeface" w:hAnsi="PermianSerifTypeface"/>
          <w:lang w:val="en-GB"/>
        </w:rPr>
        <w:t>such measure</w:t>
      </w:r>
      <w:r w:rsidRPr="00F65200">
        <w:rPr>
          <w:rFonts w:ascii="PermianSerifTypeface" w:hAnsi="PermianSerifTypeface"/>
          <w:lang w:val="en-GB"/>
        </w:rPr>
        <w:t>, of the suspension of a Participant’s right of participation, stating the suspension grounds.</w:t>
      </w:r>
    </w:p>
    <w:p w14:paraId="4653F001" w14:textId="53AA392F" w:rsidR="00B17F06" w:rsidRPr="00F65200" w:rsidRDefault="00F65200" w:rsidP="00F65200">
      <w:pPr>
        <w:tabs>
          <w:tab w:val="left" w:pos="1134"/>
        </w:tabs>
        <w:rPr>
          <w:rFonts w:ascii="PermianSerifTypeface" w:hAnsi="PermianSerifTypeface"/>
          <w:b/>
          <w:bCs/>
          <w:lang w:val="en-GB"/>
        </w:rPr>
      </w:pPr>
      <w:r>
        <w:rPr>
          <w:rFonts w:ascii="PermianSerifTypeface" w:hAnsi="PermianSerifTypeface"/>
          <w:bCs/>
          <w:i/>
          <w:noProof/>
          <w:sz w:val="16"/>
          <w:szCs w:val="16"/>
          <w:lang w:val="en-GB"/>
        </w:rPr>
        <w:t xml:space="preserve">                </w:t>
      </w: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17</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49A1504F" w14:textId="77777777" w:rsidR="00F65200" w:rsidRDefault="00F65200" w:rsidP="00B17F06">
      <w:pPr>
        <w:tabs>
          <w:tab w:val="left" w:pos="1134"/>
        </w:tabs>
        <w:jc w:val="center"/>
        <w:rPr>
          <w:rFonts w:ascii="PermianSerifTypeface" w:hAnsi="PermianSerifTypeface"/>
          <w:b/>
          <w:bCs/>
          <w:lang w:val="en-GB"/>
        </w:rPr>
      </w:pPr>
    </w:p>
    <w:p w14:paraId="1D2B1E26" w14:textId="44609E2F" w:rsidR="00A142DF" w:rsidRPr="00F65200" w:rsidRDefault="00A142DF" w:rsidP="00B17F06">
      <w:pPr>
        <w:tabs>
          <w:tab w:val="left" w:pos="1134"/>
        </w:tabs>
        <w:jc w:val="center"/>
        <w:rPr>
          <w:rFonts w:ascii="PermianSerifTypeface" w:hAnsi="PermianSerifTypeface"/>
          <w:b/>
          <w:bCs/>
          <w:lang w:val="en-GB"/>
        </w:rPr>
      </w:pPr>
      <w:r w:rsidRPr="00F65200">
        <w:rPr>
          <w:rFonts w:ascii="PermianSerifTypeface" w:hAnsi="PermianSerifTypeface"/>
          <w:b/>
          <w:bCs/>
          <w:lang w:val="en-GB"/>
        </w:rPr>
        <w:t>C</w:t>
      </w:r>
      <w:r w:rsidR="00652A7E" w:rsidRPr="00F65200">
        <w:rPr>
          <w:rFonts w:ascii="PermianSerifTypeface" w:hAnsi="PermianSerifTypeface"/>
          <w:b/>
          <w:bCs/>
          <w:lang w:val="en-GB"/>
        </w:rPr>
        <w:t>HAPTER</w:t>
      </w:r>
      <w:r w:rsidRPr="00F65200">
        <w:rPr>
          <w:rFonts w:ascii="PermianSerifTypeface" w:hAnsi="PermianSerifTypeface"/>
          <w:b/>
          <w:bCs/>
          <w:lang w:val="en-GB"/>
        </w:rPr>
        <w:t xml:space="preserve"> IV</w:t>
      </w:r>
    </w:p>
    <w:p w14:paraId="1A304BBC" w14:textId="00AEC4A9" w:rsidR="00A142DF" w:rsidRPr="00F65200" w:rsidRDefault="00652A7E" w:rsidP="00B17F06">
      <w:pPr>
        <w:tabs>
          <w:tab w:val="left" w:pos="1134"/>
        </w:tabs>
        <w:jc w:val="center"/>
        <w:rPr>
          <w:rFonts w:ascii="PermianSerifTypeface" w:hAnsi="PermianSerifTypeface"/>
          <w:lang w:val="en-GB"/>
        </w:rPr>
      </w:pPr>
      <w:r w:rsidRPr="00F65200">
        <w:rPr>
          <w:rFonts w:ascii="PermianSerifTypeface" w:hAnsi="PermianSerifTypeface"/>
          <w:b/>
          <w:lang w:val="en-GB"/>
        </w:rPr>
        <w:t xml:space="preserve">Withdrawing the right of participation in the </w:t>
      </w:r>
      <w:r w:rsidR="001A4313" w:rsidRPr="00F65200">
        <w:rPr>
          <w:rFonts w:ascii="PermianSerifTypeface" w:hAnsi="PermianSerifTypeface"/>
          <w:b/>
          <w:lang w:val="en-GB"/>
        </w:rPr>
        <w:t xml:space="preserve">Single </w:t>
      </w:r>
      <w:r w:rsidRPr="00F65200">
        <w:rPr>
          <w:rFonts w:ascii="PermianSerifTypeface" w:hAnsi="PermianSerifTypeface"/>
          <w:b/>
          <w:lang w:val="en-GB"/>
        </w:rPr>
        <w:t>Central Depository</w:t>
      </w:r>
    </w:p>
    <w:p w14:paraId="02A8B747" w14:textId="0DAF9272" w:rsidR="0064211E" w:rsidRPr="00F65200" w:rsidRDefault="00D13025" w:rsidP="0064211E">
      <w:pPr>
        <w:pStyle w:val="ListParagraph"/>
        <w:numPr>
          <w:ilvl w:val="0"/>
          <w:numId w:val="6"/>
        </w:numPr>
        <w:tabs>
          <w:tab w:val="left" w:pos="1134"/>
        </w:tabs>
        <w:ind w:left="0" w:firstLine="709"/>
        <w:jc w:val="both"/>
        <w:rPr>
          <w:rFonts w:ascii="PermianSerifTypeface" w:hAnsi="PermianSerifTypeface"/>
          <w:b/>
          <w:lang w:val="en-GB"/>
        </w:rPr>
      </w:pPr>
      <w:r w:rsidRPr="00F65200">
        <w:rPr>
          <w:rFonts w:ascii="PermianSerifTypeface" w:hAnsi="PermianSerifTypeface"/>
          <w:lang w:val="en-GB"/>
        </w:rPr>
        <w:t>The w</w:t>
      </w:r>
      <w:r w:rsidR="0064211E" w:rsidRPr="00F65200">
        <w:rPr>
          <w:rFonts w:ascii="PermianSerifTypeface" w:hAnsi="PermianSerifTypeface"/>
          <w:lang w:val="en-GB"/>
        </w:rPr>
        <w:t xml:space="preserve">ithdrawal of the right of participation in the </w:t>
      </w:r>
      <w:r w:rsidR="001A4313" w:rsidRPr="00F65200">
        <w:rPr>
          <w:rFonts w:ascii="PermianSerifTypeface" w:hAnsi="PermianSerifTypeface"/>
          <w:lang w:val="en-GB"/>
        </w:rPr>
        <w:t xml:space="preserve">Single </w:t>
      </w:r>
      <w:r w:rsidR="0064211E" w:rsidRPr="00F65200">
        <w:rPr>
          <w:rFonts w:ascii="PermianSerifTypeface" w:hAnsi="PermianSerifTypeface"/>
          <w:lang w:val="en-GB"/>
        </w:rPr>
        <w:t xml:space="preserve">Central </w:t>
      </w:r>
      <w:r w:rsidR="00005C92" w:rsidRPr="00F65200">
        <w:rPr>
          <w:rFonts w:ascii="PermianSerifTypeface" w:hAnsi="PermianSerifTypeface"/>
          <w:lang w:val="en-GB"/>
        </w:rPr>
        <w:t>Depository</w:t>
      </w:r>
      <w:r w:rsidR="0064211E" w:rsidRPr="00F65200">
        <w:rPr>
          <w:rFonts w:ascii="PermianSerifTypeface" w:hAnsi="PermianSerifTypeface"/>
          <w:lang w:val="en-GB"/>
        </w:rPr>
        <w:t xml:space="preserve"> may take place in the following cases:</w:t>
      </w:r>
    </w:p>
    <w:p w14:paraId="35B24BC0" w14:textId="15C7B67F" w:rsidR="00A142DF" w:rsidRPr="00F65200" w:rsidRDefault="0064211E" w:rsidP="0064211E">
      <w:pPr>
        <w:pStyle w:val="ListParagraph"/>
        <w:numPr>
          <w:ilvl w:val="1"/>
          <w:numId w:val="8"/>
        </w:numPr>
        <w:tabs>
          <w:tab w:val="left" w:pos="1134"/>
        </w:tabs>
        <w:ind w:left="0" w:firstLine="720"/>
        <w:jc w:val="both"/>
        <w:rPr>
          <w:rFonts w:ascii="PermianSerifTypeface" w:hAnsi="PermianSerifTypeface"/>
          <w:b/>
          <w:lang w:val="en-GB"/>
        </w:rPr>
      </w:pPr>
      <w:r w:rsidRPr="00F65200">
        <w:rPr>
          <w:rFonts w:ascii="PermianSerifTypeface" w:hAnsi="PermianSerifTypeface"/>
          <w:lang w:val="en-GB"/>
        </w:rPr>
        <w:t>at the request of the Participant who shall submit the following documents</w:t>
      </w:r>
      <w:r w:rsidR="00A142DF" w:rsidRPr="00F65200">
        <w:rPr>
          <w:rFonts w:ascii="PermianSerifTypeface" w:hAnsi="PermianSerifTypeface"/>
          <w:lang w:val="en-GB"/>
        </w:rPr>
        <w:t>:</w:t>
      </w:r>
    </w:p>
    <w:p w14:paraId="1D55F3B8" w14:textId="25BB5E5A" w:rsidR="0064211E" w:rsidRPr="00F65200" w:rsidRDefault="0064211E" w:rsidP="0064211E">
      <w:pPr>
        <w:pStyle w:val="ListParagraph"/>
        <w:numPr>
          <w:ilvl w:val="2"/>
          <w:numId w:val="8"/>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 xml:space="preserve">the </w:t>
      </w:r>
      <w:r w:rsidR="006235FF" w:rsidRPr="00F65200">
        <w:rPr>
          <w:rFonts w:ascii="PermianSerifTypeface" w:hAnsi="PermianSerifTypeface"/>
          <w:lang w:val="en-GB"/>
        </w:rPr>
        <w:t xml:space="preserve">application </w:t>
      </w:r>
      <w:r w:rsidR="00122D15" w:rsidRPr="00F65200">
        <w:rPr>
          <w:rFonts w:ascii="PermianSerifTypeface" w:hAnsi="PermianSerifTypeface"/>
          <w:lang w:val="en-GB"/>
        </w:rPr>
        <w:t xml:space="preserve">for </w:t>
      </w:r>
      <w:r w:rsidR="00D13025" w:rsidRPr="00F65200">
        <w:rPr>
          <w:rFonts w:ascii="PermianSerifTypeface" w:hAnsi="PermianSerifTypeface"/>
          <w:lang w:val="en-GB"/>
        </w:rPr>
        <w:t>request</w:t>
      </w:r>
      <w:r w:rsidR="006235FF" w:rsidRPr="00F65200">
        <w:rPr>
          <w:rFonts w:ascii="PermianSerifTypeface" w:hAnsi="PermianSerifTypeface"/>
          <w:lang w:val="en-GB"/>
        </w:rPr>
        <w:t>ing the</w:t>
      </w:r>
      <w:r w:rsidRPr="00F65200">
        <w:rPr>
          <w:rFonts w:ascii="PermianSerifTypeface" w:hAnsi="PermianSerifTypeface"/>
          <w:lang w:val="en-GB"/>
        </w:rPr>
        <w:t xml:space="preserve"> withdraw</w:t>
      </w:r>
      <w:r w:rsidR="006235FF" w:rsidRPr="00F65200">
        <w:rPr>
          <w:rFonts w:ascii="PermianSerifTypeface" w:hAnsi="PermianSerifTypeface"/>
          <w:lang w:val="en-GB"/>
        </w:rPr>
        <w:t xml:space="preserve">al of </w:t>
      </w:r>
      <w:r w:rsidRPr="00F65200">
        <w:rPr>
          <w:rFonts w:ascii="PermianSerifTypeface" w:hAnsi="PermianSerifTypeface"/>
          <w:lang w:val="en-GB"/>
        </w:rPr>
        <w:t xml:space="preserve">the </w:t>
      </w:r>
      <w:r w:rsidR="00D13025" w:rsidRPr="00F65200">
        <w:rPr>
          <w:rFonts w:ascii="PermianSerifTypeface" w:hAnsi="PermianSerifTypeface"/>
          <w:lang w:val="en-GB"/>
        </w:rPr>
        <w:t>right</w:t>
      </w:r>
      <w:r w:rsidRPr="00F65200">
        <w:rPr>
          <w:rFonts w:ascii="PermianSerifTypeface" w:hAnsi="PermianSerifTypeface"/>
          <w:lang w:val="en-GB"/>
        </w:rPr>
        <w:t xml:space="preserve"> of </w:t>
      </w:r>
      <w:r w:rsidR="00D13025" w:rsidRPr="00F65200">
        <w:rPr>
          <w:rFonts w:ascii="PermianSerifTypeface" w:hAnsi="PermianSerifTypeface"/>
          <w:lang w:val="en-GB"/>
        </w:rPr>
        <w:t>p</w:t>
      </w:r>
      <w:r w:rsidRPr="00F65200">
        <w:rPr>
          <w:rFonts w:ascii="PermianSerifTypeface" w:hAnsi="PermianSerifTypeface"/>
          <w:lang w:val="en-GB"/>
        </w:rPr>
        <w:t>articipat</w:t>
      </w:r>
      <w:r w:rsidR="00D13025" w:rsidRPr="00F65200">
        <w:rPr>
          <w:rFonts w:ascii="PermianSerifTypeface" w:hAnsi="PermianSerifTypeface"/>
          <w:lang w:val="en-GB"/>
        </w:rPr>
        <w:t>ion</w:t>
      </w:r>
      <w:r w:rsidRPr="00F65200">
        <w:rPr>
          <w:rFonts w:ascii="PermianSerifTypeface" w:hAnsi="PermianSerifTypeface"/>
          <w:lang w:val="en-GB"/>
        </w:rPr>
        <w:t xml:space="preserve"> </w:t>
      </w:r>
      <w:r w:rsidR="00D13025" w:rsidRPr="00F65200">
        <w:rPr>
          <w:rFonts w:ascii="PermianSerifTypeface" w:hAnsi="PermianSerifTypeface"/>
          <w:lang w:val="en-GB"/>
        </w:rPr>
        <w:t>in</w:t>
      </w:r>
      <w:r w:rsidRPr="00F65200">
        <w:rPr>
          <w:rFonts w:ascii="PermianSerifTypeface" w:hAnsi="PermianSerifTypeface"/>
          <w:lang w:val="en-GB"/>
        </w:rPr>
        <w:t xml:space="preserve"> the </w:t>
      </w:r>
      <w:r w:rsidR="001A4313" w:rsidRPr="00F65200">
        <w:rPr>
          <w:rFonts w:ascii="PermianSerifTypeface" w:hAnsi="PermianSerifTypeface"/>
          <w:lang w:val="en-GB"/>
        </w:rPr>
        <w:t xml:space="preserve">Single </w:t>
      </w:r>
      <w:r w:rsidRPr="00F65200">
        <w:rPr>
          <w:rFonts w:ascii="PermianSerifTypeface" w:hAnsi="PermianSerifTypeface"/>
          <w:lang w:val="en-GB"/>
        </w:rPr>
        <w:t>Central Depository (</w:t>
      </w:r>
      <w:r w:rsidR="00D13025" w:rsidRPr="00F65200">
        <w:rPr>
          <w:rFonts w:ascii="PermianSerifTypeface" w:hAnsi="PermianSerifTypeface"/>
          <w:lang w:val="en-GB"/>
        </w:rPr>
        <w:t xml:space="preserve">shall </w:t>
      </w:r>
      <w:r w:rsidRPr="00F65200">
        <w:rPr>
          <w:rFonts w:ascii="PermianSerifTypeface" w:hAnsi="PermianSerifTypeface"/>
          <w:lang w:val="en-GB"/>
        </w:rPr>
        <w:t>indicat</w:t>
      </w:r>
      <w:r w:rsidR="00D13025" w:rsidRPr="00F65200">
        <w:rPr>
          <w:rFonts w:ascii="PermianSerifTypeface" w:hAnsi="PermianSerifTypeface"/>
          <w:lang w:val="en-GB"/>
        </w:rPr>
        <w:t>e</w:t>
      </w:r>
      <w:r w:rsidRPr="00F65200">
        <w:rPr>
          <w:rFonts w:ascii="PermianSerifTypeface" w:hAnsi="PermianSerifTypeface"/>
          <w:lang w:val="en-GB"/>
        </w:rPr>
        <w:t xml:space="preserve"> the reason</w:t>
      </w:r>
      <w:r w:rsidR="006235FF" w:rsidRPr="00F65200">
        <w:rPr>
          <w:rFonts w:ascii="PermianSerifTypeface" w:hAnsi="PermianSerifTypeface"/>
          <w:lang w:val="en-GB"/>
        </w:rPr>
        <w:t>(s)</w:t>
      </w:r>
      <w:r w:rsidRPr="00F65200">
        <w:rPr>
          <w:rFonts w:ascii="PermianSerifTypeface" w:hAnsi="PermianSerifTypeface"/>
          <w:lang w:val="en-GB"/>
        </w:rPr>
        <w:t xml:space="preserve">), specifying the date from which the termination of the </w:t>
      </w:r>
      <w:r w:rsidR="00D13025" w:rsidRPr="00F65200">
        <w:rPr>
          <w:rFonts w:ascii="PermianSerifTypeface" w:hAnsi="PermianSerifTypeface"/>
          <w:lang w:val="en-GB"/>
        </w:rPr>
        <w:t>p</w:t>
      </w:r>
      <w:r w:rsidRPr="00F65200">
        <w:rPr>
          <w:rFonts w:ascii="PermianSerifTypeface" w:hAnsi="PermianSerifTypeface"/>
          <w:lang w:val="en-GB"/>
        </w:rPr>
        <w:t xml:space="preserve">articipation is </w:t>
      </w:r>
      <w:r w:rsidR="00D13025" w:rsidRPr="00F65200">
        <w:rPr>
          <w:rFonts w:ascii="PermianSerifTypeface" w:hAnsi="PermianSerifTypeface"/>
          <w:lang w:val="en-GB"/>
        </w:rPr>
        <w:t>requested</w:t>
      </w:r>
      <w:r w:rsidRPr="00F65200">
        <w:rPr>
          <w:rFonts w:ascii="PermianSerifTypeface" w:hAnsi="PermianSerifTypeface"/>
          <w:lang w:val="en-GB"/>
        </w:rPr>
        <w:t>;</w:t>
      </w:r>
    </w:p>
    <w:p w14:paraId="4BD3184F" w14:textId="1533F6F0" w:rsidR="0064211E" w:rsidRPr="00F65200" w:rsidRDefault="0064211E" w:rsidP="0064211E">
      <w:pPr>
        <w:pStyle w:val="ListParagraph"/>
        <w:numPr>
          <w:ilvl w:val="2"/>
          <w:numId w:val="8"/>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supporting documents;</w:t>
      </w:r>
    </w:p>
    <w:p w14:paraId="7C5860BE" w14:textId="46B248FD" w:rsidR="0064211E" w:rsidRPr="00F65200" w:rsidRDefault="0064211E" w:rsidP="0064211E">
      <w:pPr>
        <w:pStyle w:val="ListParagraph"/>
        <w:numPr>
          <w:ilvl w:val="2"/>
          <w:numId w:val="8"/>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notification of termination of</w:t>
      </w:r>
      <w:r w:rsidR="006235FF" w:rsidRPr="00F65200">
        <w:rPr>
          <w:rFonts w:ascii="PermianSerifTypeface" w:hAnsi="PermianSerifTypeface"/>
          <w:lang w:val="en-GB"/>
        </w:rPr>
        <w:t xml:space="preserve"> the</w:t>
      </w:r>
      <w:r w:rsidRPr="00F65200">
        <w:rPr>
          <w:rFonts w:ascii="PermianSerifTypeface" w:hAnsi="PermianSerifTypeface"/>
          <w:lang w:val="en-GB"/>
        </w:rPr>
        <w:t xml:space="preserve"> contract</w:t>
      </w:r>
      <w:r w:rsidR="006235FF" w:rsidRPr="00F65200">
        <w:rPr>
          <w:rFonts w:ascii="PermianSerifTypeface" w:hAnsi="PermianSerifTypeface"/>
          <w:lang w:val="en-GB"/>
        </w:rPr>
        <w:t>ual</w:t>
      </w:r>
      <w:r w:rsidRPr="00F65200">
        <w:rPr>
          <w:rFonts w:ascii="PermianSerifTypeface" w:hAnsi="PermianSerifTypeface"/>
          <w:lang w:val="en-GB"/>
        </w:rPr>
        <w:t xml:space="preserve"> relation</w:t>
      </w:r>
      <w:r w:rsidR="006235FF" w:rsidRPr="00F65200">
        <w:rPr>
          <w:rFonts w:ascii="PermianSerifTypeface" w:hAnsi="PermianSerifTypeface"/>
          <w:lang w:val="en-GB"/>
        </w:rPr>
        <w:t>ship</w:t>
      </w:r>
      <w:r w:rsidRPr="00F65200">
        <w:rPr>
          <w:rFonts w:ascii="PermianSerifTypeface" w:hAnsi="PermianSerifTypeface"/>
          <w:lang w:val="en-GB"/>
        </w:rPr>
        <w:t xml:space="preserve"> with the </w:t>
      </w:r>
      <w:r w:rsidR="001A4313" w:rsidRPr="00F65200">
        <w:rPr>
          <w:rFonts w:ascii="PermianSerifTypeface" w:hAnsi="PermianSerifTypeface"/>
          <w:lang w:val="en-GB"/>
        </w:rPr>
        <w:t xml:space="preserve">Single </w:t>
      </w:r>
      <w:r w:rsidRPr="00F65200">
        <w:rPr>
          <w:rFonts w:ascii="PermianSerifTypeface" w:hAnsi="PermianSerifTypeface"/>
          <w:lang w:val="en-GB"/>
        </w:rPr>
        <w:t>Central Depository;</w:t>
      </w:r>
    </w:p>
    <w:p w14:paraId="341AEB14" w14:textId="4C92BB5E" w:rsidR="0064211E" w:rsidRDefault="0064211E" w:rsidP="0064211E">
      <w:pPr>
        <w:pStyle w:val="ListParagraph"/>
        <w:numPr>
          <w:ilvl w:val="1"/>
          <w:numId w:val="8"/>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 xml:space="preserve">following violation of the provisions of this Regulation, 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Depository Rules, including the provisions of the contract concluded with the </w:t>
      </w:r>
      <w:r w:rsidR="001A4313" w:rsidRPr="00F65200">
        <w:rPr>
          <w:rFonts w:ascii="PermianSerifTypeface" w:hAnsi="PermianSerifTypeface"/>
          <w:lang w:val="en-GB"/>
        </w:rPr>
        <w:t xml:space="preserve">Single </w:t>
      </w:r>
      <w:r w:rsidRPr="00F65200">
        <w:rPr>
          <w:rFonts w:ascii="PermianSerifTypeface" w:hAnsi="PermianSerifTypeface"/>
          <w:lang w:val="en-GB"/>
        </w:rPr>
        <w:t>Central Depository.</w:t>
      </w:r>
    </w:p>
    <w:p w14:paraId="342AE8BB" w14:textId="6ADC6416" w:rsidR="00F65200" w:rsidRPr="00F65200" w:rsidRDefault="00F65200" w:rsidP="00F65200">
      <w:pPr>
        <w:pStyle w:val="ListParagraph"/>
        <w:tabs>
          <w:tab w:val="left" w:pos="1134"/>
        </w:tabs>
        <w:ind w:left="1134"/>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18</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44971552" w14:textId="6A23A8F0" w:rsidR="006235FF" w:rsidRDefault="006235FF" w:rsidP="006235FF">
      <w:pPr>
        <w:pStyle w:val="ListParagraph"/>
        <w:numPr>
          <w:ilvl w:val="0"/>
          <w:numId w:val="6"/>
        </w:numPr>
        <w:tabs>
          <w:tab w:val="left" w:pos="1134"/>
        </w:tabs>
        <w:ind w:left="0" w:firstLine="709"/>
        <w:jc w:val="both"/>
        <w:rPr>
          <w:rFonts w:ascii="PermianSerifTypeface" w:hAnsi="PermianSerifTypeface"/>
          <w:lang w:val="en-GB"/>
        </w:rPr>
      </w:pPr>
      <w:r w:rsidRPr="00F65200">
        <w:rPr>
          <w:rFonts w:ascii="PermianSerifTypeface" w:hAnsi="PermianSerifTypeface"/>
          <w:lang w:val="en-GB"/>
        </w:rPr>
        <w:t xml:space="preserve">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w:t>
      </w:r>
      <w:r w:rsidR="00005C92" w:rsidRPr="00F65200">
        <w:rPr>
          <w:rFonts w:ascii="PermianSerifTypeface" w:hAnsi="PermianSerifTypeface"/>
          <w:lang w:val="en-GB"/>
        </w:rPr>
        <w:t>Depository</w:t>
      </w:r>
      <w:r w:rsidRPr="00F65200">
        <w:rPr>
          <w:rFonts w:ascii="PermianSerifTypeface" w:hAnsi="PermianSerifTypeface"/>
          <w:lang w:val="en-GB"/>
        </w:rPr>
        <w:t xml:space="preserve"> shall lay down in its Rules the steps to be taken to withdraw a Participant’s right of participation in 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w:t>
      </w:r>
      <w:r w:rsidR="00005C92" w:rsidRPr="00F65200">
        <w:rPr>
          <w:rFonts w:ascii="PermianSerifTypeface" w:hAnsi="PermianSerifTypeface"/>
          <w:lang w:val="en-GB"/>
        </w:rPr>
        <w:t>Depository</w:t>
      </w:r>
      <w:r w:rsidRPr="00F65200">
        <w:rPr>
          <w:rFonts w:ascii="PermianSerifTypeface" w:hAnsi="PermianSerifTypeface"/>
          <w:lang w:val="en-GB"/>
        </w:rPr>
        <w:t>.</w:t>
      </w:r>
    </w:p>
    <w:p w14:paraId="7514FB31" w14:textId="1117C276" w:rsidR="00F65200" w:rsidRPr="00F65200"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19</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7319D2A3" w14:textId="1B7910BF" w:rsidR="006235FF" w:rsidRPr="00F65200" w:rsidRDefault="006235FF" w:rsidP="006235FF">
      <w:pPr>
        <w:pStyle w:val="ListParagraph"/>
        <w:numPr>
          <w:ilvl w:val="0"/>
          <w:numId w:val="6"/>
        </w:numPr>
        <w:tabs>
          <w:tab w:val="left" w:pos="1134"/>
        </w:tabs>
        <w:ind w:left="0" w:firstLine="709"/>
        <w:jc w:val="both"/>
        <w:rPr>
          <w:rFonts w:ascii="PermianSerifTypeface" w:hAnsi="PermianSerifTypeface"/>
          <w:lang w:val="en-GB"/>
        </w:rPr>
      </w:pPr>
      <w:r w:rsidRPr="00F65200">
        <w:rPr>
          <w:rFonts w:ascii="PermianSerifTypeface" w:hAnsi="PermianSerifTypeface"/>
          <w:lang w:val="en-GB"/>
        </w:rPr>
        <w:t xml:space="preserve">The right of participation shall cease at the date of the decision to withdraw the </w:t>
      </w:r>
      <w:r w:rsidR="0092715F" w:rsidRPr="00F65200">
        <w:rPr>
          <w:rFonts w:ascii="PermianSerifTypeface" w:hAnsi="PermianSerifTypeface"/>
          <w:lang w:val="en-GB"/>
        </w:rPr>
        <w:t xml:space="preserve">Participant’s </w:t>
      </w:r>
      <w:r w:rsidRPr="00F65200">
        <w:rPr>
          <w:rFonts w:ascii="PermianSerifTypeface" w:hAnsi="PermianSerifTypeface"/>
          <w:lang w:val="en-GB"/>
        </w:rPr>
        <w:t>right of participation or on the date specified in the decision.</w:t>
      </w:r>
    </w:p>
    <w:p w14:paraId="2E53B211" w14:textId="11546E40" w:rsidR="006235FF" w:rsidRDefault="006235FF" w:rsidP="006235FF">
      <w:pPr>
        <w:pStyle w:val="ListParagraph"/>
        <w:numPr>
          <w:ilvl w:val="0"/>
          <w:numId w:val="6"/>
        </w:numPr>
        <w:tabs>
          <w:tab w:val="left" w:pos="1134"/>
        </w:tabs>
        <w:ind w:left="0" w:firstLine="709"/>
        <w:jc w:val="both"/>
        <w:rPr>
          <w:rFonts w:ascii="PermianSerifTypeface" w:hAnsi="PermianSerifTypeface"/>
          <w:lang w:val="en-GB"/>
        </w:rPr>
      </w:pPr>
      <w:r w:rsidRPr="00F65200">
        <w:rPr>
          <w:rFonts w:ascii="PermianSerifTypeface" w:hAnsi="PermianSerifTypeface"/>
          <w:lang w:val="en-GB"/>
        </w:rPr>
        <w:t xml:space="preserve">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w:t>
      </w:r>
      <w:r w:rsidR="00005C92" w:rsidRPr="00F65200">
        <w:rPr>
          <w:rFonts w:ascii="PermianSerifTypeface" w:hAnsi="PermianSerifTypeface"/>
          <w:lang w:val="en-GB"/>
        </w:rPr>
        <w:t>Depository</w:t>
      </w:r>
      <w:r w:rsidRPr="00F65200">
        <w:rPr>
          <w:rFonts w:ascii="PermianSerifTypeface" w:hAnsi="PermianSerifTypeface"/>
          <w:lang w:val="en-GB"/>
        </w:rPr>
        <w:t xml:space="preserve"> shall inform in writing the NBM</w:t>
      </w:r>
      <w:r w:rsidR="001A4313" w:rsidRPr="00F65200">
        <w:rPr>
          <w:rFonts w:ascii="PermianSerifTypeface" w:hAnsi="PermianSerifTypeface"/>
        </w:rPr>
        <w:t xml:space="preserve"> </w:t>
      </w:r>
      <w:r w:rsidR="001A4313" w:rsidRPr="00F65200">
        <w:rPr>
          <w:rFonts w:ascii="PermianSerifTypeface" w:hAnsi="PermianSerifTypeface"/>
          <w:lang w:val="en-GB"/>
        </w:rPr>
        <w:t>and NCFM</w:t>
      </w:r>
      <w:r w:rsidRPr="00F65200">
        <w:rPr>
          <w:rFonts w:ascii="PermianSerifTypeface" w:hAnsi="PermianSerifTypeface"/>
          <w:lang w:val="en-GB"/>
        </w:rPr>
        <w:t xml:space="preserve">, within one working day of the application of the respective measure, of the withdrawal of a Participant's </w:t>
      </w:r>
      <w:r w:rsidR="0092715F" w:rsidRPr="00F65200">
        <w:rPr>
          <w:rFonts w:ascii="PermianSerifTypeface" w:hAnsi="PermianSerifTypeface"/>
          <w:lang w:val="en-GB"/>
        </w:rPr>
        <w:t>right of participation, stating the withdrawal grounds</w:t>
      </w:r>
      <w:r w:rsidRPr="00F65200">
        <w:rPr>
          <w:rFonts w:ascii="PermianSerifTypeface" w:hAnsi="PermianSerifTypeface"/>
          <w:lang w:val="en-GB"/>
        </w:rPr>
        <w:t>.</w:t>
      </w:r>
    </w:p>
    <w:p w14:paraId="6F164FB5" w14:textId="33FF1222" w:rsidR="00F65200" w:rsidRPr="00F65200"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21</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07DB9969" w14:textId="6ECC36EF" w:rsidR="00A142DF" w:rsidRPr="00F65200" w:rsidRDefault="00C655A5" w:rsidP="00E74A1D">
      <w:pPr>
        <w:pStyle w:val="ListParagraph"/>
        <w:numPr>
          <w:ilvl w:val="0"/>
          <w:numId w:val="6"/>
        </w:numPr>
        <w:tabs>
          <w:tab w:val="left" w:pos="1134"/>
        </w:tabs>
        <w:ind w:hanging="11"/>
        <w:jc w:val="both"/>
        <w:rPr>
          <w:rFonts w:ascii="PermianSerifTypeface" w:hAnsi="PermianSerifTypeface"/>
          <w:lang w:val="en-GB"/>
        </w:rPr>
      </w:pPr>
      <w:r w:rsidRPr="00F65200">
        <w:rPr>
          <w:rFonts w:ascii="PermianSerifTypeface" w:hAnsi="PermianSerifTypeface"/>
          <w:lang w:val="en-GB"/>
        </w:rPr>
        <w:t>A Participant’s right for participation shall cease</w:t>
      </w:r>
      <w:r w:rsidR="00A142DF" w:rsidRPr="00F65200">
        <w:rPr>
          <w:rFonts w:ascii="PermianSerifTypeface" w:hAnsi="PermianSerifTypeface"/>
          <w:lang w:val="en-GB"/>
        </w:rPr>
        <w:t>:</w:t>
      </w:r>
    </w:p>
    <w:p w14:paraId="0E98F4AA" w14:textId="4BB9E793" w:rsidR="00A142DF" w:rsidRPr="00F65200" w:rsidRDefault="00C655A5" w:rsidP="00E74A1D">
      <w:pPr>
        <w:pStyle w:val="ListParagraph"/>
        <w:numPr>
          <w:ilvl w:val="1"/>
          <w:numId w:val="6"/>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 xml:space="preserve">following an entity’s merger, </w:t>
      </w:r>
      <w:r w:rsidR="00254E63" w:rsidRPr="00F65200">
        <w:rPr>
          <w:rFonts w:ascii="PermianSerifTypeface" w:hAnsi="PermianSerifTypeface"/>
          <w:lang w:val="en-GB"/>
        </w:rPr>
        <w:t>liquidation</w:t>
      </w:r>
      <w:r w:rsidRPr="00F65200">
        <w:rPr>
          <w:rFonts w:ascii="PermianSerifTypeface" w:hAnsi="PermianSerifTypeface"/>
          <w:lang w:val="en-GB"/>
        </w:rPr>
        <w:t xml:space="preserve"> or division</w:t>
      </w:r>
      <w:r w:rsidR="00A142DF" w:rsidRPr="00F65200">
        <w:rPr>
          <w:rFonts w:ascii="PermianSerifTypeface" w:hAnsi="PermianSerifTypeface"/>
          <w:lang w:val="en-GB"/>
        </w:rPr>
        <w:t>;</w:t>
      </w:r>
    </w:p>
    <w:p w14:paraId="58DA3832" w14:textId="5675A26C" w:rsidR="00C655A5" w:rsidRPr="00F65200" w:rsidRDefault="00C655A5" w:rsidP="00E74A1D">
      <w:pPr>
        <w:pStyle w:val="ListParagraph"/>
        <w:numPr>
          <w:ilvl w:val="1"/>
          <w:numId w:val="6"/>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following the expiry</w:t>
      </w:r>
      <w:r w:rsidR="001A4313" w:rsidRPr="00F65200">
        <w:rPr>
          <w:rFonts w:ascii="PermianSerifTypeface" w:hAnsi="PermianSerifTypeface"/>
          <w:lang w:val="en-GB"/>
        </w:rPr>
        <w:t>,</w:t>
      </w:r>
      <w:r w:rsidRPr="00F65200">
        <w:rPr>
          <w:rFonts w:ascii="PermianSerifTypeface" w:hAnsi="PermianSerifTypeface"/>
          <w:lang w:val="en-GB"/>
        </w:rPr>
        <w:t xml:space="preserve"> cancellation </w:t>
      </w:r>
      <w:r w:rsidR="001A4313" w:rsidRPr="00F65200">
        <w:rPr>
          <w:rFonts w:ascii="PermianSerifTypeface" w:hAnsi="PermianSerifTypeface"/>
          <w:lang w:val="en-GB"/>
        </w:rPr>
        <w:t xml:space="preserve">or withdrawal </w:t>
      </w:r>
      <w:r w:rsidRPr="00F65200">
        <w:rPr>
          <w:rFonts w:ascii="PermianSerifTypeface" w:hAnsi="PermianSerifTypeface"/>
          <w:lang w:val="en-GB"/>
        </w:rPr>
        <w:t>of the license</w:t>
      </w:r>
      <w:r w:rsidR="001A4313" w:rsidRPr="00F65200">
        <w:rPr>
          <w:rFonts w:ascii="PermianSerifTypeface" w:hAnsi="PermianSerifTypeface"/>
          <w:lang w:val="en-GB"/>
        </w:rPr>
        <w:t xml:space="preserve">/authorization </w:t>
      </w:r>
      <w:r w:rsidR="004E2036">
        <w:rPr>
          <w:rFonts w:ascii="PermianSerifTypeface" w:hAnsi="PermianSerifTypeface"/>
          <w:lang w:val="en-GB"/>
        </w:rPr>
        <w:t>certificate</w:t>
      </w:r>
      <w:r w:rsidR="004E2036" w:rsidRPr="00F65200">
        <w:rPr>
          <w:rFonts w:ascii="PermianSerifTypeface" w:hAnsi="PermianSerifTypeface"/>
          <w:lang w:val="en-GB"/>
        </w:rPr>
        <w:t xml:space="preserve"> </w:t>
      </w:r>
      <w:r w:rsidR="001A4313" w:rsidRPr="00F65200">
        <w:rPr>
          <w:rFonts w:ascii="PermianSerifTypeface" w:hAnsi="PermianSerifTypeface"/>
          <w:lang w:val="en-GB"/>
        </w:rPr>
        <w:t>issued by the competent authority in the Participant's state</w:t>
      </w:r>
      <w:r w:rsidR="004E2036">
        <w:rPr>
          <w:rFonts w:ascii="PermianSerifTypeface" w:hAnsi="PermianSerifTypeface"/>
          <w:lang w:val="en-GB"/>
        </w:rPr>
        <w:t xml:space="preserve"> of </w:t>
      </w:r>
      <w:r w:rsidR="004E2036" w:rsidRPr="00F65200">
        <w:rPr>
          <w:rFonts w:ascii="PermianSerifTypeface" w:hAnsi="PermianSerifTypeface"/>
          <w:lang w:val="en-GB"/>
        </w:rPr>
        <w:t>origin</w:t>
      </w:r>
      <w:r w:rsidR="001A4313" w:rsidRPr="00F65200">
        <w:rPr>
          <w:rFonts w:ascii="PermianSerifTypeface" w:hAnsi="PermianSerifTypeface"/>
          <w:lang w:val="en-GB"/>
        </w:rPr>
        <w:t>, as the case may be, for the entities established for point 4 subpoint 1)-4), 6) and 7)</w:t>
      </w:r>
      <w:r w:rsidRPr="00F65200">
        <w:rPr>
          <w:rFonts w:ascii="PermianSerifTypeface" w:hAnsi="PermianSerifTypeface"/>
          <w:lang w:val="en-GB"/>
        </w:rPr>
        <w:t>;</w:t>
      </w:r>
    </w:p>
    <w:p w14:paraId="2DB1271E" w14:textId="5B675EE4" w:rsidR="00C655A5" w:rsidRDefault="00C655A5" w:rsidP="00E74A1D">
      <w:pPr>
        <w:pStyle w:val="ListParagraph"/>
        <w:numPr>
          <w:ilvl w:val="1"/>
          <w:numId w:val="6"/>
        </w:numPr>
        <w:tabs>
          <w:tab w:val="left" w:pos="1134"/>
        </w:tabs>
        <w:ind w:left="1134" w:hanging="425"/>
        <w:jc w:val="both"/>
        <w:rPr>
          <w:rFonts w:ascii="PermianSerifTypeface" w:hAnsi="PermianSerifTypeface"/>
          <w:lang w:val="en-GB"/>
        </w:rPr>
      </w:pPr>
      <w:r w:rsidRPr="00F65200">
        <w:rPr>
          <w:rFonts w:ascii="PermianSerifTypeface" w:hAnsi="PermianSerifTypeface"/>
          <w:lang w:val="en-GB"/>
        </w:rPr>
        <w:t>following the Participant’s filing for bankruptcy, liquidation or other similar proceedings.</w:t>
      </w:r>
    </w:p>
    <w:p w14:paraId="27B0480A" w14:textId="417BB9F3" w:rsidR="00F65200" w:rsidRPr="00F65200" w:rsidRDefault="00F65200" w:rsidP="00F65200">
      <w:pPr>
        <w:pStyle w:val="ListParagraph"/>
        <w:tabs>
          <w:tab w:val="left" w:pos="1134"/>
        </w:tabs>
        <w:ind w:left="1134"/>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22</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2F54CF85" w14:textId="77777777" w:rsidR="00B17F06" w:rsidRPr="00F65200" w:rsidRDefault="00B17F06" w:rsidP="00B17F06">
      <w:pPr>
        <w:tabs>
          <w:tab w:val="left" w:pos="1134"/>
        </w:tabs>
        <w:jc w:val="center"/>
        <w:rPr>
          <w:rFonts w:ascii="PermianSerifTypeface" w:hAnsi="PermianSerifTypeface"/>
          <w:b/>
          <w:bCs/>
          <w:lang w:val="en-GB"/>
        </w:rPr>
      </w:pPr>
    </w:p>
    <w:p w14:paraId="63A9DBE9" w14:textId="50ED3BF1" w:rsidR="00A142DF" w:rsidRPr="00F65200" w:rsidRDefault="00A142DF" w:rsidP="00B17F06">
      <w:pPr>
        <w:tabs>
          <w:tab w:val="left" w:pos="1134"/>
        </w:tabs>
        <w:jc w:val="center"/>
        <w:rPr>
          <w:rFonts w:ascii="PermianSerifTypeface" w:hAnsi="PermianSerifTypeface"/>
          <w:b/>
          <w:bCs/>
          <w:lang w:val="en-GB"/>
        </w:rPr>
      </w:pPr>
      <w:r w:rsidRPr="00F65200">
        <w:rPr>
          <w:rFonts w:ascii="PermianSerifTypeface" w:hAnsi="PermianSerifTypeface"/>
          <w:b/>
          <w:bCs/>
          <w:lang w:val="en-GB"/>
        </w:rPr>
        <w:t>C</w:t>
      </w:r>
      <w:r w:rsidR="009A6A34" w:rsidRPr="00F65200">
        <w:rPr>
          <w:rFonts w:ascii="PermianSerifTypeface" w:hAnsi="PermianSerifTypeface"/>
          <w:b/>
          <w:bCs/>
          <w:lang w:val="en-GB"/>
        </w:rPr>
        <w:t>HAPTER</w:t>
      </w:r>
      <w:r w:rsidRPr="00F65200">
        <w:rPr>
          <w:rFonts w:ascii="PermianSerifTypeface" w:hAnsi="PermianSerifTypeface"/>
          <w:b/>
          <w:bCs/>
          <w:lang w:val="en-GB"/>
        </w:rPr>
        <w:t xml:space="preserve"> V</w:t>
      </w:r>
    </w:p>
    <w:p w14:paraId="06665523" w14:textId="1B8EA7AE" w:rsidR="00A142DF" w:rsidRPr="00F65200" w:rsidRDefault="009A6A34" w:rsidP="00B17F06">
      <w:pPr>
        <w:tabs>
          <w:tab w:val="left" w:pos="1134"/>
        </w:tabs>
        <w:jc w:val="center"/>
        <w:rPr>
          <w:rFonts w:ascii="PermianSerifTypeface" w:hAnsi="PermianSerifTypeface"/>
          <w:b/>
          <w:lang w:val="en-GB"/>
        </w:rPr>
      </w:pPr>
      <w:r w:rsidRPr="00F65200">
        <w:rPr>
          <w:rFonts w:ascii="PermianSerifTypeface" w:hAnsi="PermianSerifTypeface"/>
          <w:b/>
          <w:lang w:val="en-GB"/>
        </w:rPr>
        <w:t>Final provisions</w:t>
      </w:r>
    </w:p>
    <w:p w14:paraId="036925E7" w14:textId="0F55A62F" w:rsidR="00CF7434" w:rsidRDefault="00CF7434" w:rsidP="001B120F">
      <w:pPr>
        <w:pStyle w:val="ListParagraph"/>
        <w:numPr>
          <w:ilvl w:val="0"/>
          <w:numId w:val="6"/>
        </w:numPr>
        <w:tabs>
          <w:tab w:val="left" w:pos="1134"/>
        </w:tabs>
        <w:ind w:left="0" w:firstLine="709"/>
        <w:jc w:val="both"/>
        <w:rPr>
          <w:rFonts w:ascii="PermianSerifTypeface" w:hAnsi="PermianSerifTypeface"/>
          <w:lang w:val="en-GB"/>
        </w:rPr>
      </w:pPr>
      <w:r w:rsidRPr="00F65200">
        <w:rPr>
          <w:rFonts w:ascii="PermianSerifTypeface" w:hAnsi="PermianSerifTypeface"/>
          <w:lang w:val="en-GB"/>
        </w:rPr>
        <w:t xml:space="preserve">The decision on granting, suspending </w:t>
      </w:r>
      <w:r w:rsidR="00022506" w:rsidRPr="00F65200">
        <w:rPr>
          <w:rFonts w:ascii="PermianSerifTypeface" w:hAnsi="PermianSerifTypeface"/>
          <w:lang w:val="en-GB"/>
        </w:rPr>
        <w:t>or</w:t>
      </w:r>
      <w:r w:rsidRPr="00F65200">
        <w:rPr>
          <w:rFonts w:ascii="PermianSerifTypeface" w:hAnsi="PermianSerifTypeface"/>
          <w:lang w:val="en-GB"/>
        </w:rPr>
        <w:t xml:space="preserve"> withdrawing the right of participation in 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Depository shall be taken by the Executive Board of the </w:t>
      </w:r>
      <w:r w:rsidR="001A4313" w:rsidRPr="00F65200">
        <w:rPr>
          <w:rFonts w:ascii="PermianSerifTypeface" w:hAnsi="PermianSerifTypeface"/>
          <w:lang w:val="en-GB"/>
        </w:rPr>
        <w:t xml:space="preserve">Single </w:t>
      </w:r>
      <w:r w:rsidRPr="00F65200">
        <w:rPr>
          <w:rFonts w:ascii="PermianSerifTypeface" w:hAnsi="PermianSerifTypeface"/>
          <w:lang w:val="en-GB"/>
        </w:rPr>
        <w:t>Central Depository.</w:t>
      </w:r>
    </w:p>
    <w:p w14:paraId="63D512EB" w14:textId="1CD7D990" w:rsidR="00F65200" w:rsidRPr="00F65200" w:rsidRDefault="00F65200" w:rsidP="00F65200">
      <w:pPr>
        <w:pStyle w:val="ListParagraph"/>
        <w:tabs>
          <w:tab w:val="left" w:pos="1134"/>
        </w:tabs>
        <w:ind w:left="709"/>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23</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p w14:paraId="175FBED5" w14:textId="67227DC9" w:rsidR="00A142DF" w:rsidRPr="00F65200" w:rsidRDefault="001B120F" w:rsidP="001B120F">
      <w:pPr>
        <w:pStyle w:val="ListParagraph"/>
        <w:numPr>
          <w:ilvl w:val="0"/>
          <w:numId w:val="6"/>
        </w:numPr>
        <w:tabs>
          <w:tab w:val="left" w:pos="1134"/>
        </w:tabs>
        <w:ind w:left="0" w:firstLine="709"/>
        <w:jc w:val="both"/>
        <w:rPr>
          <w:rFonts w:ascii="PermianSerifTypeface" w:hAnsi="PermianSerifTypeface"/>
          <w:lang w:val="en-GB"/>
        </w:rPr>
      </w:pPr>
      <w:r w:rsidRPr="00F65200">
        <w:rPr>
          <w:rFonts w:ascii="PermianSerifTypeface" w:hAnsi="PermianSerifTypeface"/>
          <w:lang w:val="en-GB"/>
        </w:rPr>
        <w:t xml:space="preserve">The </w:t>
      </w:r>
      <w:r w:rsidR="001A4313" w:rsidRPr="00F65200">
        <w:rPr>
          <w:rFonts w:ascii="PermianSerifTypeface" w:hAnsi="PermianSerifTypeface"/>
          <w:lang w:val="en-GB"/>
        </w:rPr>
        <w:t xml:space="preserve">Single </w:t>
      </w:r>
      <w:r w:rsidRPr="00F65200">
        <w:rPr>
          <w:rFonts w:ascii="PermianSerifTypeface" w:hAnsi="PermianSerifTypeface"/>
          <w:lang w:val="en-GB"/>
        </w:rPr>
        <w:t xml:space="preserve">Central Depository shall prepare </w:t>
      </w:r>
      <w:r w:rsidR="00022506" w:rsidRPr="00F65200">
        <w:rPr>
          <w:rFonts w:ascii="PermianSerifTypeface" w:hAnsi="PermianSerifTypeface"/>
          <w:lang w:val="en-GB"/>
        </w:rPr>
        <w:t xml:space="preserve">reference </w:t>
      </w:r>
      <w:r w:rsidRPr="00F65200">
        <w:rPr>
          <w:rFonts w:ascii="PermianSerifTypeface" w:hAnsi="PermianSerifTypeface"/>
          <w:lang w:val="en-GB"/>
        </w:rPr>
        <w:t>forms of</w:t>
      </w:r>
      <w:r w:rsidR="00A142DF" w:rsidRPr="00F65200">
        <w:rPr>
          <w:rFonts w:ascii="PermianSerifTypeface" w:hAnsi="PermianSerifTypeface"/>
          <w:lang w:val="en-GB"/>
        </w:rPr>
        <w:t>:</w:t>
      </w:r>
    </w:p>
    <w:p w14:paraId="5AB3F1BB" w14:textId="151AB1C3" w:rsidR="001B120F" w:rsidRPr="00F65200" w:rsidRDefault="001B120F" w:rsidP="001B120F">
      <w:pPr>
        <w:pStyle w:val="ListParagraph"/>
        <w:numPr>
          <w:ilvl w:val="1"/>
          <w:numId w:val="6"/>
        </w:numPr>
        <w:tabs>
          <w:tab w:val="left" w:pos="1134"/>
        </w:tabs>
        <w:ind w:left="1134" w:hanging="414"/>
        <w:jc w:val="both"/>
        <w:rPr>
          <w:rFonts w:ascii="PermianSerifTypeface" w:hAnsi="PermianSerifTypeface"/>
          <w:lang w:val="en-GB"/>
        </w:rPr>
      </w:pPr>
      <w:r w:rsidRPr="00F65200">
        <w:rPr>
          <w:rFonts w:ascii="PermianSerifTypeface" w:hAnsi="PermianSerifTypeface"/>
          <w:lang w:val="en-GB"/>
        </w:rPr>
        <w:t>application</w:t>
      </w:r>
      <w:r w:rsidR="00022506" w:rsidRPr="00F65200">
        <w:rPr>
          <w:rFonts w:ascii="PermianSerifTypeface" w:hAnsi="PermianSerifTypeface"/>
          <w:lang w:val="en-GB"/>
        </w:rPr>
        <w:t>s</w:t>
      </w:r>
      <w:r w:rsidRPr="00F65200">
        <w:rPr>
          <w:rFonts w:ascii="PermianSerifTypeface" w:hAnsi="PermianSerifTypeface"/>
          <w:lang w:val="en-GB"/>
        </w:rPr>
        <w:t xml:space="preserve"> for requesting the granting / suspension / withdrawal of the right of participation in the </w:t>
      </w:r>
      <w:r w:rsidR="001A4313" w:rsidRPr="00F65200">
        <w:rPr>
          <w:rFonts w:ascii="PermianSerifTypeface" w:hAnsi="PermianSerifTypeface"/>
          <w:lang w:val="en-GB"/>
        </w:rPr>
        <w:t xml:space="preserve">Single </w:t>
      </w:r>
      <w:r w:rsidRPr="00F65200">
        <w:rPr>
          <w:rFonts w:ascii="PermianSerifTypeface" w:hAnsi="PermianSerifTypeface"/>
          <w:lang w:val="en-GB"/>
        </w:rPr>
        <w:t>Central Depository;</w:t>
      </w:r>
    </w:p>
    <w:p w14:paraId="5F83C811" w14:textId="1FC23DC2" w:rsidR="001B120F" w:rsidRDefault="001B120F" w:rsidP="001B120F">
      <w:pPr>
        <w:pStyle w:val="ListParagraph"/>
        <w:numPr>
          <w:ilvl w:val="1"/>
          <w:numId w:val="6"/>
        </w:numPr>
        <w:tabs>
          <w:tab w:val="left" w:pos="1134"/>
        </w:tabs>
        <w:ind w:left="1134" w:hanging="414"/>
        <w:jc w:val="both"/>
        <w:rPr>
          <w:rFonts w:ascii="PermianSerifTypeface" w:hAnsi="PermianSerifTypeface"/>
          <w:lang w:val="en-GB"/>
        </w:rPr>
      </w:pPr>
      <w:r w:rsidRPr="00F65200">
        <w:rPr>
          <w:rFonts w:ascii="PermianSerifTypeface" w:hAnsi="PermianSerifTypeface"/>
          <w:lang w:val="en-GB"/>
        </w:rPr>
        <w:lastRenderedPageBreak/>
        <w:t xml:space="preserve">the application for requesting the setting up of an account(s) in the </w:t>
      </w:r>
      <w:r w:rsidR="001A4313" w:rsidRPr="00F65200">
        <w:rPr>
          <w:rFonts w:ascii="PermianSerifTypeface" w:hAnsi="PermianSerifTypeface"/>
          <w:lang w:val="en-GB"/>
        </w:rPr>
        <w:t xml:space="preserve">Single </w:t>
      </w:r>
      <w:r w:rsidRPr="00F65200">
        <w:rPr>
          <w:rFonts w:ascii="PermianSerifTypeface" w:hAnsi="PermianSerifTypeface"/>
          <w:lang w:val="en-GB"/>
        </w:rPr>
        <w:t>Central Depository.</w:t>
      </w:r>
    </w:p>
    <w:p w14:paraId="79C80A26" w14:textId="0A8A5CBE" w:rsidR="00F65200" w:rsidRPr="00F65200" w:rsidRDefault="00F65200" w:rsidP="00F65200">
      <w:pPr>
        <w:pStyle w:val="ListParagraph"/>
        <w:tabs>
          <w:tab w:val="left" w:pos="1134"/>
        </w:tabs>
        <w:ind w:left="1134"/>
        <w:jc w:val="both"/>
        <w:rPr>
          <w:rFonts w:ascii="PermianSerifTypeface" w:hAnsi="PermianSerifTypeface"/>
          <w:lang w:val="en-GB"/>
        </w:rPr>
      </w:pPr>
      <w:r w:rsidRPr="00D66EE5">
        <w:rPr>
          <w:rFonts w:ascii="PermianSerifTypeface" w:hAnsi="PermianSerifTypeface"/>
          <w:bCs/>
          <w:i/>
          <w:noProof/>
          <w:sz w:val="16"/>
          <w:szCs w:val="16"/>
          <w:lang w:val="en-GB"/>
        </w:rPr>
        <w:t xml:space="preserve">[Point </w:t>
      </w:r>
      <w:r>
        <w:rPr>
          <w:rFonts w:ascii="PermianSerifTypeface" w:hAnsi="PermianSerifTypeface"/>
          <w:bCs/>
          <w:i/>
          <w:noProof/>
          <w:sz w:val="16"/>
          <w:szCs w:val="16"/>
          <w:lang w:val="en-GB"/>
        </w:rPr>
        <w:t>24</w:t>
      </w:r>
      <w:r w:rsidRPr="00D66EE5">
        <w:rPr>
          <w:rFonts w:ascii="PermianSerifTypeface" w:hAnsi="PermianSerifTypeface"/>
          <w:bCs/>
          <w:i/>
          <w:noProof/>
          <w:sz w:val="16"/>
          <w:szCs w:val="16"/>
          <w:lang w:val="en-GB"/>
        </w:rPr>
        <w:t xml:space="preserve"> amended by Decision No 188 of 24 July 2024 of the Executive Board of the National Bank of Moldova]</w:t>
      </w:r>
    </w:p>
    <w:sectPr w:rsidR="00F65200" w:rsidRPr="00F65200" w:rsidSect="0099649D">
      <w:headerReference w:type="even" r:id="rId8"/>
      <w:headerReference w:type="default" r:id="rId9"/>
      <w:footerReference w:type="even" r:id="rId10"/>
      <w:footerReference w:type="default" r:id="rId11"/>
      <w:headerReference w:type="first" r:id="rId12"/>
      <w:footerReference w:type="first" r:id="rId13"/>
      <w:pgSz w:w="11906" w:h="16838"/>
      <w:pgMar w:top="539" w:right="845" w:bottom="568" w:left="144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2819" w14:textId="77777777" w:rsidR="006235FF" w:rsidRDefault="006235FF">
      <w:r>
        <w:separator/>
      </w:r>
    </w:p>
  </w:endnote>
  <w:endnote w:type="continuationSeparator" w:id="0">
    <w:p w14:paraId="0F59FD0C" w14:textId="77777777" w:rsidR="006235FF" w:rsidRDefault="0062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F36B" w14:textId="77777777" w:rsidR="006235FF" w:rsidRDefault="006235FF" w:rsidP="0099649D">
    <w:pPr>
      <w:pStyle w:val="Footer"/>
      <w:jc w:val="center"/>
    </w:pPr>
    <w:bookmarkStart w:id="8" w:name="TITUS1FooterEvenPages"/>
    <w:r>
      <w:t xml:space="preserve"> </w:t>
    </w:r>
  </w:p>
  <w:p w14:paraId="243A2E82" w14:textId="77777777" w:rsidR="006235FF" w:rsidRDefault="006235FF" w:rsidP="0099649D">
    <w:pPr>
      <w:pStyle w:val="Footer"/>
    </w:pPr>
    <w:r>
      <w:t xml:space="preserve"> </w:t>
    </w:r>
  </w:p>
  <w:bookmarkEnd w:id="8"/>
  <w:p w14:paraId="6716F483" w14:textId="708281F0" w:rsidR="006235FF" w:rsidRDefault="006235FF" w:rsidP="0099649D">
    <w:pPr>
      <w:pStyle w:val="Footer"/>
      <w:jc w:val="right"/>
    </w:pPr>
    <w:r>
      <w:fldChar w:fldCharType="begin"/>
    </w:r>
    <w:r>
      <w:instrText>PAGE   \* MERGEFORMAT</w:instrText>
    </w:r>
    <w:r>
      <w:fldChar w:fldCharType="separate"/>
    </w:r>
    <w:r w:rsidR="00933A5A" w:rsidRPr="00933A5A">
      <w:rPr>
        <w:noProof/>
        <w:lang w:val="ru-RU"/>
      </w:rPr>
      <w:t>4</w:t>
    </w:r>
    <w:r>
      <w:fldChar w:fldCharType="end"/>
    </w:r>
  </w:p>
  <w:p w14:paraId="76AF23C6" w14:textId="77777777" w:rsidR="006235FF" w:rsidRDefault="006235FF" w:rsidP="0099649D">
    <w:pPr>
      <w:pStyle w:val="Footer"/>
      <w:ind w:right="360"/>
    </w:pPr>
  </w:p>
  <w:p w14:paraId="37FC4922" w14:textId="77777777" w:rsidR="006235FF" w:rsidRDefault="006235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F482" w14:textId="77777777" w:rsidR="006235FF" w:rsidRDefault="006235FF" w:rsidP="0099649D">
    <w:pPr>
      <w:pStyle w:val="Footer"/>
      <w:jc w:val="center"/>
    </w:pPr>
    <w:bookmarkStart w:id="9" w:name="TITUS1FooterPrimary"/>
    <w:r>
      <w:t xml:space="preserve"> </w:t>
    </w:r>
  </w:p>
  <w:p w14:paraId="702304E7" w14:textId="77777777" w:rsidR="006235FF" w:rsidRDefault="006235FF" w:rsidP="0099649D">
    <w:pPr>
      <w:pStyle w:val="Footer"/>
    </w:pPr>
    <w:r>
      <w:t xml:space="preserve"> </w:t>
    </w:r>
  </w:p>
  <w:bookmarkEnd w:id="9"/>
  <w:p w14:paraId="0A7FFE6B" w14:textId="2C753268" w:rsidR="006235FF" w:rsidRDefault="006235FF">
    <w:pPr>
      <w:pStyle w:val="Footer"/>
      <w:jc w:val="right"/>
    </w:pPr>
    <w:r>
      <w:fldChar w:fldCharType="begin"/>
    </w:r>
    <w:r>
      <w:instrText>PAGE   \* MERGEFORMAT</w:instrText>
    </w:r>
    <w:r>
      <w:fldChar w:fldCharType="separate"/>
    </w:r>
    <w:r w:rsidR="00933A5A" w:rsidRPr="00933A5A">
      <w:rPr>
        <w:noProof/>
        <w:lang w:val="ru-RU"/>
      </w:rPr>
      <w:t>5</w:t>
    </w:r>
    <w:r>
      <w:fldChar w:fldCharType="end"/>
    </w:r>
  </w:p>
  <w:p w14:paraId="6B5002F2" w14:textId="77777777" w:rsidR="006235FF" w:rsidRDefault="006235FF" w:rsidP="005022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76F6" w14:textId="77777777" w:rsidR="006235FF" w:rsidRDefault="00623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F36A" w14:textId="77777777" w:rsidR="006235FF" w:rsidRDefault="006235FF">
      <w:r>
        <w:separator/>
      </w:r>
    </w:p>
  </w:footnote>
  <w:footnote w:type="continuationSeparator" w:id="0">
    <w:p w14:paraId="33E1081D" w14:textId="77777777" w:rsidR="006235FF" w:rsidRDefault="00623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BD00" w14:textId="77777777" w:rsidR="006235FF" w:rsidRDefault="006235FF" w:rsidP="0099649D">
    <w:pPr>
      <w:pStyle w:val="Header"/>
      <w:ind w:right="360"/>
      <w:jc w:val="right"/>
    </w:pPr>
    <w:bookmarkStart w:id="6" w:name="TITUS1HeaderEvenPages"/>
    <w:r>
      <w:t xml:space="preserve"> </w:t>
    </w:r>
  </w:p>
  <w:bookmarkEnd w:id="6"/>
  <w:p w14:paraId="634399C4" w14:textId="77777777" w:rsidR="006235FF" w:rsidRDefault="006235FF" w:rsidP="00DC50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953A" w14:textId="77777777" w:rsidR="006235FF" w:rsidRDefault="006235FF" w:rsidP="0099649D">
    <w:pPr>
      <w:pStyle w:val="Header"/>
      <w:ind w:right="360"/>
      <w:jc w:val="right"/>
    </w:pPr>
    <w:bookmarkStart w:id="7" w:name="TITUS1HeaderPrimary"/>
    <w:r>
      <w:t xml:space="preserve"> </w:t>
    </w:r>
  </w:p>
  <w:bookmarkEnd w:id="7"/>
  <w:p w14:paraId="61239FD8" w14:textId="77777777" w:rsidR="006235FF" w:rsidRDefault="006235FF" w:rsidP="00DC500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6908" w14:textId="77777777" w:rsidR="006235FF" w:rsidRDefault="00623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EA74B69"/>
    <w:multiLevelType w:val="hybridMultilevel"/>
    <w:tmpl w:val="9C50549A"/>
    <w:lvl w:ilvl="0" w:tplc="5DB8D1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D8B1A24"/>
    <w:multiLevelType w:val="hybridMultilevel"/>
    <w:tmpl w:val="8B8029BE"/>
    <w:lvl w:ilvl="0" w:tplc="07220AEC">
      <w:start w:val="1"/>
      <w:numFmt w:val="decimal"/>
      <w:lvlText w:val="%1."/>
      <w:lvlJc w:val="left"/>
      <w:pPr>
        <w:ind w:left="720" w:hanging="360"/>
      </w:pPr>
      <w:rPr>
        <w:rFonts w:ascii="Times New Roman" w:hAnsi="Times New Roman" w:cs="Times New Roman" w:hint="default"/>
        <w:b/>
        <w:i w:val="0"/>
        <w:color w:val="auto"/>
        <w:sz w:val="24"/>
        <w:szCs w:val="24"/>
      </w:rPr>
    </w:lvl>
    <w:lvl w:ilvl="1" w:tplc="3E72ED6C">
      <w:start w:val="1"/>
      <w:numFmt w:val="decimal"/>
      <w:lvlText w:val="%2)"/>
      <w:lvlJc w:val="left"/>
      <w:pPr>
        <w:ind w:left="1440" w:hanging="360"/>
      </w:pPr>
      <w:rPr>
        <w:rFonts w:ascii="Times New Roman" w:hAnsi="Times New Roman" w:cs="Times New Roman" w:hint="default"/>
        <w:b w:val="0"/>
        <w:i w:val="0"/>
        <w:sz w:val="24"/>
        <w:szCs w:val="24"/>
      </w:rPr>
    </w:lvl>
    <w:lvl w:ilvl="2" w:tplc="E22E8C4C">
      <w:start w:val="1"/>
      <w:numFmt w:val="lowerLetter"/>
      <w:lvlText w:val="%3)"/>
      <w:lvlJc w:val="left"/>
      <w:pPr>
        <w:ind w:left="2160" w:hanging="180"/>
      </w:pPr>
      <w:rPr>
        <w:rFonts w:hint="default"/>
        <w:b w:val="0"/>
        <w:sz w:val="22"/>
        <w:szCs w:val="22"/>
      </w:rPr>
    </w:lvl>
    <w:lvl w:ilvl="3" w:tplc="BCC8C492">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E0A9C"/>
    <w:multiLevelType w:val="hybridMultilevel"/>
    <w:tmpl w:val="E44A90DC"/>
    <w:lvl w:ilvl="0" w:tplc="DA5A3410">
      <w:start w:val="1"/>
      <w:numFmt w:val="decimal"/>
      <w:pStyle w:val="HCEnumerare"/>
      <w:lvlText w:val="%1."/>
      <w:lvlJc w:val="left"/>
      <w:pPr>
        <w:ind w:left="720" w:hanging="360"/>
      </w:pPr>
      <w:rPr>
        <w:rFonts w:ascii="Times New Roman" w:hAnsi="Times New Roman" w:cs="Times New Roman"/>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D32E8"/>
    <w:multiLevelType w:val="hybridMultilevel"/>
    <w:tmpl w:val="6A0472D0"/>
    <w:lvl w:ilvl="0" w:tplc="49B298BA">
      <w:start w:val="1"/>
      <w:numFmt w:val="decimal"/>
      <w:pStyle w:val="CevasCunumerotare"/>
      <w:lvlText w:val="%1."/>
      <w:lvlJc w:val="left"/>
      <w:pPr>
        <w:tabs>
          <w:tab w:val="num" w:pos="360"/>
        </w:tabs>
        <w:ind w:left="360" w:hanging="360"/>
      </w:pPr>
      <w:rPr>
        <w:rFonts w:cs="Times New Roman" w:hint="default"/>
        <w:b/>
      </w:rPr>
    </w:lvl>
    <w:lvl w:ilvl="1" w:tplc="1304CB16">
      <w:start w:val="1"/>
      <w:numFmt w:val="decimal"/>
      <w:lvlText w:val="%2."/>
      <w:lvlJc w:val="left"/>
      <w:pPr>
        <w:tabs>
          <w:tab w:val="num" w:pos="1080"/>
        </w:tabs>
        <w:ind w:left="1080" w:hanging="360"/>
      </w:pPr>
      <w:rPr>
        <w:rFonts w:cs="Times New Roman" w:hint="default"/>
        <w:b/>
        <w:color w:val="auto"/>
        <w:sz w:val="26"/>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5843A97"/>
    <w:multiLevelType w:val="hybridMultilevel"/>
    <w:tmpl w:val="0B7837A8"/>
    <w:lvl w:ilvl="0" w:tplc="BC909402">
      <w:start w:val="1"/>
      <w:numFmt w:val="decimal"/>
      <w:lvlText w:val="%1."/>
      <w:lvlJc w:val="left"/>
      <w:pPr>
        <w:ind w:left="720" w:hanging="360"/>
      </w:pPr>
      <w:rPr>
        <w:rFonts w:ascii="Times New Roman" w:hAnsi="Times New Roman" w:cs="Times New Roman" w:hint="default"/>
        <w:b/>
        <w:i w:val="0"/>
        <w:color w:val="auto"/>
        <w:sz w:val="24"/>
        <w:szCs w:val="24"/>
      </w:rPr>
    </w:lvl>
    <w:lvl w:ilvl="1" w:tplc="328473B8">
      <w:start w:val="1"/>
      <w:numFmt w:val="decimal"/>
      <w:lvlText w:val="%2)"/>
      <w:lvlJc w:val="left"/>
      <w:pPr>
        <w:ind w:left="1440" w:hanging="360"/>
      </w:pPr>
      <w:rPr>
        <w:rFonts w:ascii="PermianSerifTypeface" w:hAnsi="PermianSerifTypeface" w:cs="Times New Roman" w:hint="default"/>
        <w:b w:val="0"/>
        <w:i w:val="0"/>
        <w:sz w:val="24"/>
        <w:szCs w:val="24"/>
      </w:rPr>
    </w:lvl>
    <w:lvl w:ilvl="2" w:tplc="BB72B93C">
      <w:start w:val="1"/>
      <w:numFmt w:val="lowerLetter"/>
      <w:lvlText w:val="%3)"/>
      <w:lvlJc w:val="left"/>
      <w:pPr>
        <w:ind w:left="2024" w:hanging="180"/>
      </w:pPr>
      <w:rPr>
        <w:rFonts w:hint="default"/>
        <w:b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6380D"/>
    <w:multiLevelType w:val="hybridMultilevel"/>
    <w:tmpl w:val="21C0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81D7E"/>
    <w:multiLevelType w:val="multilevel"/>
    <w:tmpl w:val="D096C712"/>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C12E37"/>
    <w:multiLevelType w:val="hybridMultilevel"/>
    <w:tmpl w:val="0F94FD48"/>
    <w:lvl w:ilvl="0" w:tplc="3D64A83C">
      <w:start w:val="1"/>
      <w:numFmt w:val="decimal"/>
      <w:pStyle w:val="HCASpace"/>
      <w:lvlText w:val="%1."/>
      <w:lvlJc w:val="left"/>
      <w:pPr>
        <w:tabs>
          <w:tab w:val="num" w:pos="1620"/>
        </w:tabs>
        <w:ind w:left="1620" w:hanging="360"/>
      </w:pPr>
      <w:rPr>
        <w:b/>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4"/>
  </w:num>
  <w:num w:numId="2">
    <w:abstractNumId w:val="7"/>
  </w:num>
  <w:num w:numId="3">
    <w:abstractNumId w:val="3"/>
  </w:num>
  <w:num w:numId="4">
    <w:abstractNumId w:val="8"/>
  </w:num>
  <w:num w:numId="5">
    <w:abstractNumId w:val="6"/>
  </w:num>
  <w:num w:numId="6">
    <w:abstractNumId w:val="5"/>
  </w:num>
  <w:num w:numId="7">
    <w:abstractNumId w:val="1"/>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0"/>
  <w:activeWritingStyle w:appName="MSWord" w:lang="fr-FR" w:vendorID="64" w:dllVersion="6" w:nlCheck="1" w:checkStyle="0"/>
  <w:activeWritingStyle w:appName="MSWord" w:lang="ru-RU"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evenAndOddHeaders/>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14"/>
    <w:rsid w:val="00000291"/>
    <w:rsid w:val="000012C6"/>
    <w:rsid w:val="00001949"/>
    <w:rsid w:val="000023AA"/>
    <w:rsid w:val="000027FD"/>
    <w:rsid w:val="000034D3"/>
    <w:rsid w:val="00003877"/>
    <w:rsid w:val="000042FC"/>
    <w:rsid w:val="00004B15"/>
    <w:rsid w:val="00005C92"/>
    <w:rsid w:val="00006133"/>
    <w:rsid w:val="000061E5"/>
    <w:rsid w:val="00007CA3"/>
    <w:rsid w:val="00007F1A"/>
    <w:rsid w:val="00010007"/>
    <w:rsid w:val="000105EA"/>
    <w:rsid w:val="00010CFA"/>
    <w:rsid w:val="00010FF3"/>
    <w:rsid w:val="00012349"/>
    <w:rsid w:val="0001304B"/>
    <w:rsid w:val="00014DD7"/>
    <w:rsid w:val="000154CB"/>
    <w:rsid w:val="00016551"/>
    <w:rsid w:val="0001696F"/>
    <w:rsid w:val="00020275"/>
    <w:rsid w:val="000207AD"/>
    <w:rsid w:val="00020CAE"/>
    <w:rsid w:val="00021483"/>
    <w:rsid w:val="000220B3"/>
    <w:rsid w:val="00022506"/>
    <w:rsid w:val="00023D13"/>
    <w:rsid w:val="000245BC"/>
    <w:rsid w:val="0002554D"/>
    <w:rsid w:val="00025DD9"/>
    <w:rsid w:val="00027358"/>
    <w:rsid w:val="00027B52"/>
    <w:rsid w:val="00027EBB"/>
    <w:rsid w:val="00027F28"/>
    <w:rsid w:val="000315C9"/>
    <w:rsid w:val="00031CCD"/>
    <w:rsid w:val="000325B4"/>
    <w:rsid w:val="00033E41"/>
    <w:rsid w:val="00034D05"/>
    <w:rsid w:val="0003646C"/>
    <w:rsid w:val="00036C9F"/>
    <w:rsid w:val="00037105"/>
    <w:rsid w:val="00037BF9"/>
    <w:rsid w:val="00040165"/>
    <w:rsid w:val="00041D42"/>
    <w:rsid w:val="00042F2E"/>
    <w:rsid w:val="0004410A"/>
    <w:rsid w:val="00044B64"/>
    <w:rsid w:val="000454C7"/>
    <w:rsid w:val="000456A9"/>
    <w:rsid w:val="00045F1A"/>
    <w:rsid w:val="00045F33"/>
    <w:rsid w:val="00050194"/>
    <w:rsid w:val="00050DB6"/>
    <w:rsid w:val="000518DB"/>
    <w:rsid w:val="000520F8"/>
    <w:rsid w:val="00052876"/>
    <w:rsid w:val="00052EC5"/>
    <w:rsid w:val="0005328B"/>
    <w:rsid w:val="00053979"/>
    <w:rsid w:val="00055922"/>
    <w:rsid w:val="00055C7B"/>
    <w:rsid w:val="000564DC"/>
    <w:rsid w:val="000567C7"/>
    <w:rsid w:val="00060182"/>
    <w:rsid w:val="000608ED"/>
    <w:rsid w:val="00060D14"/>
    <w:rsid w:val="00060F26"/>
    <w:rsid w:val="00060FF0"/>
    <w:rsid w:val="00061D3B"/>
    <w:rsid w:val="00063047"/>
    <w:rsid w:val="00065324"/>
    <w:rsid w:val="000653AE"/>
    <w:rsid w:val="00067E72"/>
    <w:rsid w:val="00070DB8"/>
    <w:rsid w:val="00071171"/>
    <w:rsid w:val="000723C7"/>
    <w:rsid w:val="00072FE4"/>
    <w:rsid w:val="000738F3"/>
    <w:rsid w:val="00074400"/>
    <w:rsid w:val="00074AB2"/>
    <w:rsid w:val="00074E2A"/>
    <w:rsid w:val="0007520E"/>
    <w:rsid w:val="00075376"/>
    <w:rsid w:val="00075A96"/>
    <w:rsid w:val="00075EF2"/>
    <w:rsid w:val="000763F7"/>
    <w:rsid w:val="00076841"/>
    <w:rsid w:val="00076B0E"/>
    <w:rsid w:val="00076C1B"/>
    <w:rsid w:val="000776F3"/>
    <w:rsid w:val="00077AF3"/>
    <w:rsid w:val="00077B31"/>
    <w:rsid w:val="00077C69"/>
    <w:rsid w:val="000800D1"/>
    <w:rsid w:val="000812B6"/>
    <w:rsid w:val="00082BAE"/>
    <w:rsid w:val="0008347F"/>
    <w:rsid w:val="00083DCE"/>
    <w:rsid w:val="000912DF"/>
    <w:rsid w:val="00094E79"/>
    <w:rsid w:val="0009592A"/>
    <w:rsid w:val="00095E27"/>
    <w:rsid w:val="00096448"/>
    <w:rsid w:val="00096A6F"/>
    <w:rsid w:val="00096CA9"/>
    <w:rsid w:val="000A1718"/>
    <w:rsid w:val="000A2236"/>
    <w:rsid w:val="000A2C40"/>
    <w:rsid w:val="000A399C"/>
    <w:rsid w:val="000A49EC"/>
    <w:rsid w:val="000A72DD"/>
    <w:rsid w:val="000A7E62"/>
    <w:rsid w:val="000B1062"/>
    <w:rsid w:val="000B13D4"/>
    <w:rsid w:val="000B1842"/>
    <w:rsid w:val="000B1A88"/>
    <w:rsid w:val="000B1EF9"/>
    <w:rsid w:val="000B1F6E"/>
    <w:rsid w:val="000B27EB"/>
    <w:rsid w:val="000B3762"/>
    <w:rsid w:val="000B38E8"/>
    <w:rsid w:val="000B4299"/>
    <w:rsid w:val="000B49B1"/>
    <w:rsid w:val="000B55BB"/>
    <w:rsid w:val="000B5C56"/>
    <w:rsid w:val="000B7278"/>
    <w:rsid w:val="000B7524"/>
    <w:rsid w:val="000B7962"/>
    <w:rsid w:val="000C0A52"/>
    <w:rsid w:val="000C19AA"/>
    <w:rsid w:val="000C265F"/>
    <w:rsid w:val="000C2C40"/>
    <w:rsid w:val="000C3606"/>
    <w:rsid w:val="000C4742"/>
    <w:rsid w:val="000C492E"/>
    <w:rsid w:val="000C4966"/>
    <w:rsid w:val="000C4E48"/>
    <w:rsid w:val="000C50B0"/>
    <w:rsid w:val="000C65DF"/>
    <w:rsid w:val="000C6D06"/>
    <w:rsid w:val="000C7F1C"/>
    <w:rsid w:val="000D1447"/>
    <w:rsid w:val="000D2C0C"/>
    <w:rsid w:val="000D2D25"/>
    <w:rsid w:val="000D314E"/>
    <w:rsid w:val="000D350B"/>
    <w:rsid w:val="000D5887"/>
    <w:rsid w:val="000D7A03"/>
    <w:rsid w:val="000E0657"/>
    <w:rsid w:val="000E0D18"/>
    <w:rsid w:val="000E1032"/>
    <w:rsid w:val="000E151A"/>
    <w:rsid w:val="000E20DD"/>
    <w:rsid w:val="000E2D11"/>
    <w:rsid w:val="000E3961"/>
    <w:rsid w:val="000E3E57"/>
    <w:rsid w:val="000E4F2F"/>
    <w:rsid w:val="000E565D"/>
    <w:rsid w:val="000E5DF0"/>
    <w:rsid w:val="000E6230"/>
    <w:rsid w:val="000E62C4"/>
    <w:rsid w:val="000E65B5"/>
    <w:rsid w:val="000E6851"/>
    <w:rsid w:val="000E7ADD"/>
    <w:rsid w:val="000E7F53"/>
    <w:rsid w:val="000F00F0"/>
    <w:rsid w:val="000F0333"/>
    <w:rsid w:val="000F0740"/>
    <w:rsid w:val="000F082F"/>
    <w:rsid w:val="000F1A2D"/>
    <w:rsid w:val="000F1A73"/>
    <w:rsid w:val="000F2598"/>
    <w:rsid w:val="000F2992"/>
    <w:rsid w:val="000F358A"/>
    <w:rsid w:val="000F36DA"/>
    <w:rsid w:val="000F3E30"/>
    <w:rsid w:val="000F414E"/>
    <w:rsid w:val="000F4CD3"/>
    <w:rsid w:val="000F5150"/>
    <w:rsid w:val="000F56A2"/>
    <w:rsid w:val="000F5F1C"/>
    <w:rsid w:val="000F7381"/>
    <w:rsid w:val="000F7658"/>
    <w:rsid w:val="000F793D"/>
    <w:rsid w:val="0010094E"/>
    <w:rsid w:val="001017A0"/>
    <w:rsid w:val="001017C9"/>
    <w:rsid w:val="001019A3"/>
    <w:rsid w:val="00101D30"/>
    <w:rsid w:val="00102CED"/>
    <w:rsid w:val="0010374E"/>
    <w:rsid w:val="0010392E"/>
    <w:rsid w:val="00103DF3"/>
    <w:rsid w:val="001047F2"/>
    <w:rsid w:val="00105ADA"/>
    <w:rsid w:val="00106736"/>
    <w:rsid w:val="00107E99"/>
    <w:rsid w:val="001104E3"/>
    <w:rsid w:val="001105AE"/>
    <w:rsid w:val="00111A42"/>
    <w:rsid w:val="0011212E"/>
    <w:rsid w:val="001126FF"/>
    <w:rsid w:val="0011323E"/>
    <w:rsid w:val="001132EC"/>
    <w:rsid w:val="00113B70"/>
    <w:rsid w:val="0011428B"/>
    <w:rsid w:val="00114C1A"/>
    <w:rsid w:val="00114F7F"/>
    <w:rsid w:val="00117184"/>
    <w:rsid w:val="001172CB"/>
    <w:rsid w:val="0011748F"/>
    <w:rsid w:val="00120DAB"/>
    <w:rsid w:val="001210B6"/>
    <w:rsid w:val="001214ED"/>
    <w:rsid w:val="00121555"/>
    <w:rsid w:val="00122255"/>
    <w:rsid w:val="00122D15"/>
    <w:rsid w:val="00124369"/>
    <w:rsid w:val="0012491B"/>
    <w:rsid w:val="001253E9"/>
    <w:rsid w:val="0012554A"/>
    <w:rsid w:val="00125D06"/>
    <w:rsid w:val="0013023B"/>
    <w:rsid w:val="0013068F"/>
    <w:rsid w:val="00131ED1"/>
    <w:rsid w:val="00131F12"/>
    <w:rsid w:val="0013236A"/>
    <w:rsid w:val="00132C04"/>
    <w:rsid w:val="00133B91"/>
    <w:rsid w:val="001340CF"/>
    <w:rsid w:val="001344D9"/>
    <w:rsid w:val="001347D1"/>
    <w:rsid w:val="00134921"/>
    <w:rsid w:val="00135256"/>
    <w:rsid w:val="0013565F"/>
    <w:rsid w:val="001357ED"/>
    <w:rsid w:val="00135B6F"/>
    <w:rsid w:val="00135FEF"/>
    <w:rsid w:val="00136C5A"/>
    <w:rsid w:val="00137190"/>
    <w:rsid w:val="0014006E"/>
    <w:rsid w:val="00140635"/>
    <w:rsid w:val="00140CB6"/>
    <w:rsid w:val="00142195"/>
    <w:rsid w:val="001424C1"/>
    <w:rsid w:val="001433EE"/>
    <w:rsid w:val="00143DC7"/>
    <w:rsid w:val="00144B00"/>
    <w:rsid w:val="00144E61"/>
    <w:rsid w:val="00144E8A"/>
    <w:rsid w:val="001455E6"/>
    <w:rsid w:val="00145837"/>
    <w:rsid w:val="00145B5A"/>
    <w:rsid w:val="00145EE3"/>
    <w:rsid w:val="00146B58"/>
    <w:rsid w:val="00147FAE"/>
    <w:rsid w:val="00150031"/>
    <w:rsid w:val="00150DBE"/>
    <w:rsid w:val="0015150B"/>
    <w:rsid w:val="00151727"/>
    <w:rsid w:val="00152097"/>
    <w:rsid w:val="00152C09"/>
    <w:rsid w:val="00152F37"/>
    <w:rsid w:val="00153161"/>
    <w:rsid w:val="00153AB3"/>
    <w:rsid w:val="00154AA7"/>
    <w:rsid w:val="00154E27"/>
    <w:rsid w:val="00154F12"/>
    <w:rsid w:val="00155404"/>
    <w:rsid w:val="00155A31"/>
    <w:rsid w:val="00157C91"/>
    <w:rsid w:val="00157F13"/>
    <w:rsid w:val="00160F1E"/>
    <w:rsid w:val="0016394F"/>
    <w:rsid w:val="001647E7"/>
    <w:rsid w:val="001649B0"/>
    <w:rsid w:val="00166EE7"/>
    <w:rsid w:val="001712A4"/>
    <w:rsid w:val="00171C20"/>
    <w:rsid w:val="00171E94"/>
    <w:rsid w:val="00173227"/>
    <w:rsid w:val="00173A4A"/>
    <w:rsid w:val="00173D5C"/>
    <w:rsid w:val="00173F8B"/>
    <w:rsid w:val="0017477B"/>
    <w:rsid w:val="001749D6"/>
    <w:rsid w:val="00177586"/>
    <w:rsid w:val="00177C3F"/>
    <w:rsid w:val="00177F86"/>
    <w:rsid w:val="00180113"/>
    <w:rsid w:val="00182631"/>
    <w:rsid w:val="00183F39"/>
    <w:rsid w:val="001842F2"/>
    <w:rsid w:val="00184471"/>
    <w:rsid w:val="001844BD"/>
    <w:rsid w:val="001848FE"/>
    <w:rsid w:val="00184EDB"/>
    <w:rsid w:val="001852C3"/>
    <w:rsid w:val="001855AF"/>
    <w:rsid w:val="00190AC7"/>
    <w:rsid w:val="001912DC"/>
    <w:rsid w:val="00193499"/>
    <w:rsid w:val="001949FF"/>
    <w:rsid w:val="00194C74"/>
    <w:rsid w:val="00195205"/>
    <w:rsid w:val="00195A75"/>
    <w:rsid w:val="00195B50"/>
    <w:rsid w:val="001A13A7"/>
    <w:rsid w:val="001A1B65"/>
    <w:rsid w:val="001A2F5C"/>
    <w:rsid w:val="001A322F"/>
    <w:rsid w:val="001A3AD0"/>
    <w:rsid w:val="001A4046"/>
    <w:rsid w:val="001A4313"/>
    <w:rsid w:val="001A4B5A"/>
    <w:rsid w:val="001A5029"/>
    <w:rsid w:val="001A5053"/>
    <w:rsid w:val="001A54A7"/>
    <w:rsid w:val="001A584C"/>
    <w:rsid w:val="001A5A7B"/>
    <w:rsid w:val="001A7A82"/>
    <w:rsid w:val="001A7AA9"/>
    <w:rsid w:val="001B05D6"/>
    <w:rsid w:val="001B069B"/>
    <w:rsid w:val="001B0A70"/>
    <w:rsid w:val="001B0DFB"/>
    <w:rsid w:val="001B120F"/>
    <w:rsid w:val="001B178E"/>
    <w:rsid w:val="001B18DA"/>
    <w:rsid w:val="001B1DB9"/>
    <w:rsid w:val="001B1FAA"/>
    <w:rsid w:val="001B350D"/>
    <w:rsid w:val="001B3E2E"/>
    <w:rsid w:val="001B4457"/>
    <w:rsid w:val="001B4546"/>
    <w:rsid w:val="001B4D54"/>
    <w:rsid w:val="001B505C"/>
    <w:rsid w:val="001B59D8"/>
    <w:rsid w:val="001B5B71"/>
    <w:rsid w:val="001B686A"/>
    <w:rsid w:val="001B725B"/>
    <w:rsid w:val="001C0545"/>
    <w:rsid w:val="001C0CF3"/>
    <w:rsid w:val="001C1B23"/>
    <w:rsid w:val="001C26BC"/>
    <w:rsid w:val="001C3ECC"/>
    <w:rsid w:val="001C47B6"/>
    <w:rsid w:val="001C47D5"/>
    <w:rsid w:val="001C4AE4"/>
    <w:rsid w:val="001C4D72"/>
    <w:rsid w:val="001C5EC3"/>
    <w:rsid w:val="001C61FD"/>
    <w:rsid w:val="001C72BA"/>
    <w:rsid w:val="001C7AD0"/>
    <w:rsid w:val="001D1031"/>
    <w:rsid w:val="001D119B"/>
    <w:rsid w:val="001D1251"/>
    <w:rsid w:val="001D1D74"/>
    <w:rsid w:val="001D1DE8"/>
    <w:rsid w:val="001D2009"/>
    <w:rsid w:val="001D299F"/>
    <w:rsid w:val="001D3B0B"/>
    <w:rsid w:val="001D47C5"/>
    <w:rsid w:val="001D66FA"/>
    <w:rsid w:val="001D693F"/>
    <w:rsid w:val="001E0149"/>
    <w:rsid w:val="001E0F89"/>
    <w:rsid w:val="001E1172"/>
    <w:rsid w:val="001E177D"/>
    <w:rsid w:val="001E1871"/>
    <w:rsid w:val="001E19D9"/>
    <w:rsid w:val="001E1E48"/>
    <w:rsid w:val="001E2104"/>
    <w:rsid w:val="001E241A"/>
    <w:rsid w:val="001E39D6"/>
    <w:rsid w:val="001E525A"/>
    <w:rsid w:val="001E541A"/>
    <w:rsid w:val="001E5A51"/>
    <w:rsid w:val="001E608D"/>
    <w:rsid w:val="001E62C2"/>
    <w:rsid w:val="001E7414"/>
    <w:rsid w:val="001E75C4"/>
    <w:rsid w:val="001E7F29"/>
    <w:rsid w:val="001F0E97"/>
    <w:rsid w:val="001F13B5"/>
    <w:rsid w:val="001F163B"/>
    <w:rsid w:val="001F2A6F"/>
    <w:rsid w:val="001F3A03"/>
    <w:rsid w:val="001F41AE"/>
    <w:rsid w:val="001F540E"/>
    <w:rsid w:val="001F546B"/>
    <w:rsid w:val="001F579D"/>
    <w:rsid w:val="001F5A64"/>
    <w:rsid w:val="001F6078"/>
    <w:rsid w:val="001F6348"/>
    <w:rsid w:val="001F7131"/>
    <w:rsid w:val="001F75C3"/>
    <w:rsid w:val="0020019B"/>
    <w:rsid w:val="00201A87"/>
    <w:rsid w:val="00201AC1"/>
    <w:rsid w:val="0020296D"/>
    <w:rsid w:val="002029E6"/>
    <w:rsid w:val="00203324"/>
    <w:rsid w:val="00203886"/>
    <w:rsid w:val="00203E21"/>
    <w:rsid w:val="00203E7C"/>
    <w:rsid w:val="00206FD8"/>
    <w:rsid w:val="00207109"/>
    <w:rsid w:val="00207694"/>
    <w:rsid w:val="00207748"/>
    <w:rsid w:val="00207D47"/>
    <w:rsid w:val="002103C4"/>
    <w:rsid w:val="00210434"/>
    <w:rsid w:val="00210A3B"/>
    <w:rsid w:val="002118C4"/>
    <w:rsid w:val="00211F42"/>
    <w:rsid w:val="00212842"/>
    <w:rsid w:val="00214C49"/>
    <w:rsid w:val="0021618C"/>
    <w:rsid w:val="00217D3D"/>
    <w:rsid w:val="00220B02"/>
    <w:rsid w:val="00222F42"/>
    <w:rsid w:val="002237F8"/>
    <w:rsid w:val="00223AE6"/>
    <w:rsid w:val="00223F3A"/>
    <w:rsid w:val="00224B42"/>
    <w:rsid w:val="00224F48"/>
    <w:rsid w:val="00225537"/>
    <w:rsid w:val="0022579C"/>
    <w:rsid w:val="00225D1E"/>
    <w:rsid w:val="00226A77"/>
    <w:rsid w:val="00226F42"/>
    <w:rsid w:val="002304A4"/>
    <w:rsid w:val="002318DE"/>
    <w:rsid w:val="002319E6"/>
    <w:rsid w:val="00233BD7"/>
    <w:rsid w:val="00234B57"/>
    <w:rsid w:val="00234BD8"/>
    <w:rsid w:val="00235767"/>
    <w:rsid w:val="00235E49"/>
    <w:rsid w:val="0023637D"/>
    <w:rsid w:val="002363FE"/>
    <w:rsid w:val="00236EA0"/>
    <w:rsid w:val="0023703B"/>
    <w:rsid w:val="00237ECD"/>
    <w:rsid w:val="00240859"/>
    <w:rsid w:val="00240DC3"/>
    <w:rsid w:val="00241890"/>
    <w:rsid w:val="00242CBB"/>
    <w:rsid w:val="00243367"/>
    <w:rsid w:val="00243937"/>
    <w:rsid w:val="00243EBA"/>
    <w:rsid w:val="00244090"/>
    <w:rsid w:val="002442A5"/>
    <w:rsid w:val="002466A9"/>
    <w:rsid w:val="002466BA"/>
    <w:rsid w:val="00247574"/>
    <w:rsid w:val="0024794F"/>
    <w:rsid w:val="00250122"/>
    <w:rsid w:val="0025027A"/>
    <w:rsid w:val="002509B0"/>
    <w:rsid w:val="002512EA"/>
    <w:rsid w:val="00251D82"/>
    <w:rsid w:val="002530E6"/>
    <w:rsid w:val="00253D82"/>
    <w:rsid w:val="00253E6C"/>
    <w:rsid w:val="002540DC"/>
    <w:rsid w:val="00254563"/>
    <w:rsid w:val="002547C5"/>
    <w:rsid w:val="00254E63"/>
    <w:rsid w:val="0025556C"/>
    <w:rsid w:val="00255BD6"/>
    <w:rsid w:val="00255CB7"/>
    <w:rsid w:val="002560A4"/>
    <w:rsid w:val="002564D4"/>
    <w:rsid w:val="00256BC2"/>
    <w:rsid w:val="0025730E"/>
    <w:rsid w:val="00260A04"/>
    <w:rsid w:val="00260C20"/>
    <w:rsid w:val="00261503"/>
    <w:rsid w:val="00261B5B"/>
    <w:rsid w:val="002625F3"/>
    <w:rsid w:val="00262626"/>
    <w:rsid w:val="00264E27"/>
    <w:rsid w:val="00264EDC"/>
    <w:rsid w:val="0026625B"/>
    <w:rsid w:val="002709A2"/>
    <w:rsid w:val="00270A8C"/>
    <w:rsid w:val="00271673"/>
    <w:rsid w:val="00271CF3"/>
    <w:rsid w:val="00272A46"/>
    <w:rsid w:val="00272BFE"/>
    <w:rsid w:val="0027434C"/>
    <w:rsid w:val="00277398"/>
    <w:rsid w:val="002774EB"/>
    <w:rsid w:val="002776B0"/>
    <w:rsid w:val="00277B4D"/>
    <w:rsid w:val="00277C09"/>
    <w:rsid w:val="00277CF8"/>
    <w:rsid w:val="002800E8"/>
    <w:rsid w:val="00280EF3"/>
    <w:rsid w:val="00282535"/>
    <w:rsid w:val="002847D1"/>
    <w:rsid w:val="002849C4"/>
    <w:rsid w:val="00286264"/>
    <w:rsid w:val="002864A4"/>
    <w:rsid w:val="002869C0"/>
    <w:rsid w:val="002900F3"/>
    <w:rsid w:val="0029037B"/>
    <w:rsid w:val="0029183F"/>
    <w:rsid w:val="00291F30"/>
    <w:rsid w:val="00291F99"/>
    <w:rsid w:val="00292769"/>
    <w:rsid w:val="002930D3"/>
    <w:rsid w:val="00293233"/>
    <w:rsid w:val="002933CB"/>
    <w:rsid w:val="00293C45"/>
    <w:rsid w:val="00293CC3"/>
    <w:rsid w:val="0029460F"/>
    <w:rsid w:val="00294CFB"/>
    <w:rsid w:val="00296F51"/>
    <w:rsid w:val="00297B70"/>
    <w:rsid w:val="00297E68"/>
    <w:rsid w:val="002A0646"/>
    <w:rsid w:val="002A1125"/>
    <w:rsid w:val="002A2720"/>
    <w:rsid w:val="002A36B7"/>
    <w:rsid w:val="002A64F6"/>
    <w:rsid w:val="002A7161"/>
    <w:rsid w:val="002A733D"/>
    <w:rsid w:val="002A7DB2"/>
    <w:rsid w:val="002B0B50"/>
    <w:rsid w:val="002B0C77"/>
    <w:rsid w:val="002B14E3"/>
    <w:rsid w:val="002B1CDA"/>
    <w:rsid w:val="002B1EE3"/>
    <w:rsid w:val="002B214B"/>
    <w:rsid w:val="002B24B1"/>
    <w:rsid w:val="002B2E05"/>
    <w:rsid w:val="002B3A62"/>
    <w:rsid w:val="002B535D"/>
    <w:rsid w:val="002B636C"/>
    <w:rsid w:val="002B6414"/>
    <w:rsid w:val="002B6C95"/>
    <w:rsid w:val="002B6F37"/>
    <w:rsid w:val="002B7446"/>
    <w:rsid w:val="002B7918"/>
    <w:rsid w:val="002B7B82"/>
    <w:rsid w:val="002B7C62"/>
    <w:rsid w:val="002B7F56"/>
    <w:rsid w:val="002C09C2"/>
    <w:rsid w:val="002C0DE1"/>
    <w:rsid w:val="002C115B"/>
    <w:rsid w:val="002C17E6"/>
    <w:rsid w:val="002C3815"/>
    <w:rsid w:val="002C6B34"/>
    <w:rsid w:val="002C6D18"/>
    <w:rsid w:val="002C758F"/>
    <w:rsid w:val="002D029D"/>
    <w:rsid w:val="002D0521"/>
    <w:rsid w:val="002D134E"/>
    <w:rsid w:val="002D18F9"/>
    <w:rsid w:val="002D2492"/>
    <w:rsid w:val="002D2545"/>
    <w:rsid w:val="002D2FC0"/>
    <w:rsid w:val="002D305F"/>
    <w:rsid w:val="002D343B"/>
    <w:rsid w:val="002D3BE2"/>
    <w:rsid w:val="002D5145"/>
    <w:rsid w:val="002D67B3"/>
    <w:rsid w:val="002D6AC4"/>
    <w:rsid w:val="002E16F8"/>
    <w:rsid w:val="002E1CEA"/>
    <w:rsid w:val="002E285F"/>
    <w:rsid w:val="002E47D9"/>
    <w:rsid w:val="002E4B91"/>
    <w:rsid w:val="002E6B6C"/>
    <w:rsid w:val="002E7CDB"/>
    <w:rsid w:val="002F18E4"/>
    <w:rsid w:val="002F1B4E"/>
    <w:rsid w:val="002F2587"/>
    <w:rsid w:val="002F4409"/>
    <w:rsid w:val="002F4743"/>
    <w:rsid w:val="002F57E8"/>
    <w:rsid w:val="002F6ADE"/>
    <w:rsid w:val="002F6C9D"/>
    <w:rsid w:val="002F6D8D"/>
    <w:rsid w:val="002F7E9A"/>
    <w:rsid w:val="003007FE"/>
    <w:rsid w:val="00300BBB"/>
    <w:rsid w:val="00301079"/>
    <w:rsid w:val="00301336"/>
    <w:rsid w:val="003029A1"/>
    <w:rsid w:val="00303FA3"/>
    <w:rsid w:val="003045FF"/>
    <w:rsid w:val="003048C5"/>
    <w:rsid w:val="00304C71"/>
    <w:rsid w:val="0030557E"/>
    <w:rsid w:val="00305996"/>
    <w:rsid w:val="00305DAC"/>
    <w:rsid w:val="00305F6C"/>
    <w:rsid w:val="00306DED"/>
    <w:rsid w:val="00306EDF"/>
    <w:rsid w:val="00311108"/>
    <w:rsid w:val="003116A3"/>
    <w:rsid w:val="003118BA"/>
    <w:rsid w:val="00311E99"/>
    <w:rsid w:val="00312531"/>
    <w:rsid w:val="00313BE1"/>
    <w:rsid w:val="0031453A"/>
    <w:rsid w:val="003146E9"/>
    <w:rsid w:val="00315069"/>
    <w:rsid w:val="0031564D"/>
    <w:rsid w:val="00316B68"/>
    <w:rsid w:val="00316E81"/>
    <w:rsid w:val="0032281D"/>
    <w:rsid w:val="00322D44"/>
    <w:rsid w:val="003242AA"/>
    <w:rsid w:val="00324BEC"/>
    <w:rsid w:val="00324FE7"/>
    <w:rsid w:val="00325BB8"/>
    <w:rsid w:val="00326D10"/>
    <w:rsid w:val="00327819"/>
    <w:rsid w:val="00330092"/>
    <w:rsid w:val="003301D3"/>
    <w:rsid w:val="00330358"/>
    <w:rsid w:val="0033103A"/>
    <w:rsid w:val="003316BA"/>
    <w:rsid w:val="003334FA"/>
    <w:rsid w:val="00334094"/>
    <w:rsid w:val="003344AD"/>
    <w:rsid w:val="00334900"/>
    <w:rsid w:val="00335BFB"/>
    <w:rsid w:val="00337264"/>
    <w:rsid w:val="00341DB4"/>
    <w:rsid w:val="0034207D"/>
    <w:rsid w:val="00342A15"/>
    <w:rsid w:val="00342D2E"/>
    <w:rsid w:val="00342DE5"/>
    <w:rsid w:val="00343AA3"/>
    <w:rsid w:val="00343C20"/>
    <w:rsid w:val="003442EF"/>
    <w:rsid w:val="00344BDF"/>
    <w:rsid w:val="003452CE"/>
    <w:rsid w:val="00345F18"/>
    <w:rsid w:val="0034646E"/>
    <w:rsid w:val="00346509"/>
    <w:rsid w:val="00346D91"/>
    <w:rsid w:val="00350019"/>
    <w:rsid w:val="003507FB"/>
    <w:rsid w:val="00350992"/>
    <w:rsid w:val="00350C9F"/>
    <w:rsid w:val="00350F40"/>
    <w:rsid w:val="00351DF8"/>
    <w:rsid w:val="003533A3"/>
    <w:rsid w:val="003548B8"/>
    <w:rsid w:val="003562D7"/>
    <w:rsid w:val="00356E4D"/>
    <w:rsid w:val="00356E59"/>
    <w:rsid w:val="00356E8E"/>
    <w:rsid w:val="00357690"/>
    <w:rsid w:val="00360E2F"/>
    <w:rsid w:val="003610C7"/>
    <w:rsid w:val="00361C20"/>
    <w:rsid w:val="003633A3"/>
    <w:rsid w:val="00363600"/>
    <w:rsid w:val="003637B9"/>
    <w:rsid w:val="00363A8D"/>
    <w:rsid w:val="003655F7"/>
    <w:rsid w:val="00365C51"/>
    <w:rsid w:val="00366DC5"/>
    <w:rsid w:val="00367430"/>
    <w:rsid w:val="003678CD"/>
    <w:rsid w:val="0037000C"/>
    <w:rsid w:val="0037153B"/>
    <w:rsid w:val="00371A28"/>
    <w:rsid w:val="00371AC8"/>
    <w:rsid w:val="00372A89"/>
    <w:rsid w:val="00373ABF"/>
    <w:rsid w:val="00373B82"/>
    <w:rsid w:val="00373EBB"/>
    <w:rsid w:val="00373EC8"/>
    <w:rsid w:val="00374CA3"/>
    <w:rsid w:val="00375A9F"/>
    <w:rsid w:val="0037734B"/>
    <w:rsid w:val="00377C57"/>
    <w:rsid w:val="00380230"/>
    <w:rsid w:val="00380382"/>
    <w:rsid w:val="00380AD4"/>
    <w:rsid w:val="00381785"/>
    <w:rsid w:val="003817DC"/>
    <w:rsid w:val="003824BD"/>
    <w:rsid w:val="00382C7D"/>
    <w:rsid w:val="003830DB"/>
    <w:rsid w:val="00384017"/>
    <w:rsid w:val="0038403F"/>
    <w:rsid w:val="00384475"/>
    <w:rsid w:val="00384630"/>
    <w:rsid w:val="00384850"/>
    <w:rsid w:val="003851B2"/>
    <w:rsid w:val="00385650"/>
    <w:rsid w:val="00385BED"/>
    <w:rsid w:val="00386567"/>
    <w:rsid w:val="003867E1"/>
    <w:rsid w:val="00386864"/>
    <w:rsid w:val="003868FB"/>
    <w:rsid w:val="003878EF"/>
    <w:rsid w:val="003879C8"/>
    <w:rsid w:val="00387DD0"/>
    <w:rsid w:val="0039007A"/>
    <w:rsid w:val="00390149"/>
    <w:rsid w:val="003908D8"/>
    <w:rsid w:val="00390981"/>
    <w:rsid w:val="00391920"/>
    <w:rsid w:val="00391C85"/>
    <w:rsid w:val="00392C7C"/>
    <w:rsid w:val="003934FA"/>
    <w:rsid w:val="00394182"/>
    <w:rsid w:val="00395FB9"/>
    <w:rsid w:val="00397B41"/>
    <w:rsid w:val="00397EA8"/>
    <w:rsid w:val="003A0741"/>
    <w:rsid w:val="003A0C40"/>
    <w:rsid w:val="003A14C2"/>
    <w:rsid w:val="003A15D0"/>
    <w:rsid w:val="003A25A8"/>
    <w:rsid w:val="003A3730"/>
    <w:rsid w:val="003A3B64"/>
    <w:rsid w:val="003A3E5C"/>
    <w:rsid w:val="003A4BF1"/>
    <w:rsid w:val="003A4F9A"/>
    <w:rsid w:val="003A63F1"/>
    <w:rsid w:val="003A6CD3"/>
    <w:rsid w:val="003A75FF"/>
    <w:rsid w:val="003A7C39"/>
    <w:rsid w:val="003B08E4"/>
    <w:rsid w:val="003B0CFE"/>
    <w:rsid w:val="003B212B"/>
    <w:rsid w:val="003B21AF"/>
    <w:rsid w:val="003B2AB2"/>
    <w:rsid w:val="003B32BB"/>
    <w:rsid w:val="003B360F"/>
    <w:rsid w:val="003B44AA"/>
    <w:rsid w:val="003B5B64"/>
    <w:rsid w:val="003B64FB"/>
    <w:rsid w:val="003B6DD4"/>
    <w:rsid w:val="003B702F"/>
    <w:rsid w:val="003B72D1"/>
    <w:rsid w:val="003C1611"/>
    <w:rsid w:val="003C212F"/>
    <w:rsid w:val="003C2F68"/>
    <w:rsid w:val="003C4241"/>
    <w:rsid w:val="003C47E1"/>
    <w:rsid w:val="003C5315"/>
    <w:rsid w:val="003C5B4E"/>
    <w:rsid w:val="003C74D3"/>
    <w:rsid w:val="003C777E"/>
    <w:rsid w:val="003C7872"/>
    <w:rsid w:val="003C7879"/>
    <w:rsid w:val="003C7A1C"/>
    <w:rsid w:val="003D1CD5"/>
    <w:rsid w:val="003D2941"/>
    <w:rsid w:val="003D2A91"/>
    <w:rsid w:val="003D2E3F"/>
    <w:rsid w:val="003D338B"/>
    <w:rsid w:val="003D47C4"/>
    <w:rsid w:val="003D5D71"/>
    <w:rsid w:val="003D6002"/>
    <w:rsid w:val="003D607D"/>
    <w:rsid w:val="003D641F"/>
    <w:rsid w:val="003D666B"/>
    <w:rsid w:val="003D6F3A"/>
    <w:rsid w:val="003D75EB"/>
    <w:rsid w:val="003E086B"/>
    <w:rsid w:val="003E1D6E"/>
    <w:rsid w:val="003E2862"/>
    <w:rsid w:val="003E2BC5"/>
    <w:rsid w:val="003E36A4"/>
    <w:rsid w:val="003E3827"/>
    <w:rsid w:val="003E3B7E"/>
    <w:rsid w:val="003E7965"/>
    <w:rsid w:val="003F1D1D"/>
    <w:rsid w:val="003F2D4F"/>
    <w:rsid w:val="003F44A4"/>
    <w:rsid w:val="003F44E2"/>
    <w:rsid w:val="003F569C"/>
    <w:rsid w:val="003F598E"/>
    <w:rsid w:val="003F5BA7"/>
    <w:rsid w:val="003F5E95"/>
    <w:rsid w:val="003F5F0D"/>
    <w:rsid w:val="003F6426"/>
    <w:rsid w:val="004003F4"/>
    <w:rsid w:val="00400C65"/>
    <w:rsid w:val="00401B99"/>
    <w:rsid w:val="00402A12"/>
    <w:rsid w:val="00402D74"/>
    <w:rsid w:val="00404774"/>
    <w:rsid w:val="00405822"/>
    <w:rsid w:val="0040639A"/>
    <w:rsid w:val="00406B96"/>
    <w:rsid w:val="00407BFB"/>
    <w:rsid w:val="00407E4E"/>
    <w:rsid w:val="00411725"/>
    <w:rsid w:val="00411B2F"/>
    <w:rsid w:val="00412D3B"/>
    <w:rsid w:val="00412D47"/>
    <w:rsid w:val="00412E79"/>
    <w:rsid w:val="00413414"/>
    <w:rsid w:val="00413EB0"/>
    <w:rsid w:val="00413F0B"/>
    <w:rsid w:val="00414304"/>
    <w:rsid w:val="00414A41"/>
    <w:rsid w:val="0041711D"/>
    <w:rsid w:val="00417A5E"/>
    <w:rsid w:val="0042012A"/>
    <w:rsid w:val="00420714"/>
    <w:rsid w:val="00421156"/>
    <w:rsid w:val="004223DA"/>
    <w:rsid w:val="00422C9A"/>
    <w:rsid w:val="0042316D"/>
    <w:rsid w:val="004234A6"/>
    <w:rsid w:val="00424030"/>
    <w:rsid w:val="00425245"/>
    <w:rsid w:val="00425E76"/>
    <w:rsid w:val="00426B1F"/>
    <w:rsid w:val="0043013B"/>
    <w:rsid w:val="00430634"/>
    <w:rsid w:val="0043092C"/>
    <w:rsid w:val="00430B47"/>
    <w:rsid w:val="00431FC4"/>
    <w:rsid w:val="0043249E"/>
    <w:rsid w:val="004326FD"/>
    <w:rsid w:val="00432B76"/>
    <w:rsid w:val="00433616"/>
    <w:rsid w:val="00433E71"/>
    <w:rsid w:val="004359EC"/>
    <w:rsid w:val="00436A87"/>
    <w:rsid w:val="00437545"/>
    <w:rsid w:val="0043768D"/>
    <w:rsid w:val="00437CD2"/>
    <w:rsid w:val="00440E76"/>
    <w:rsid w:val="00440F22"/>
    <w:rsid w:val="00440FBE"/>
    <w:rsid w:val="00441C1E"/>
    <w:rsid w:val="00442BB7"/>
    <w:rsid w:val="00442BFC"/>
    <w:rsid w:val="00443471"/>
    <w:rsid w:val="00443CCD"/>
    <w:rsid w:val="00443E14"/>
    <w:rsid w:val="00445041"/>
    <w:rsid w:val="0044599B"/>
    <w:rsid w:val="004465E1"/>
    <w:rsid w:val="004476B5"/>
    <w:rsid w:val="00447C18"/>
    <w:rsid w:val="0045021C"/>
    <w:rsid w:val="00450541"/>
    <w:rsid w:val="00450B4C"/>
    <w:rsid w:val="00451398"/>
    <w:rsid w:val="00451AA5"/>
    <w:rsid w:val="00451BBF"/>
    <w:rsid w:val="00452D3E"/>
    <w:rsid w:val="004532F2"/>
    <w:rsid w:val="00453481"/>
    <w:rsid w:val="0045373E"/>
    <w:rsid w:val="0045392C"/>
    <w:rsid w:val="004544FA"/>
    <w:rsid w:val="00455D14"/>
    <w:rsid w:val="00455E40"/>
    <w:rsid w:val="00456E6D"/>
    <w:rsid w:val="00456E75"/>
    <w:rsid w:val="004575C4"/>
    <w:rsid w:val="00457E68"/>
    <w:rsid w:val="004604ED"/>
    <w:rsid w:val="00461029"/>
    <w:rsid w:val="0046162F"/>
    <w:rsid w:val="00461735"/>
    <w:rsid w:val="00461EF6"/>
    <w:rsid w:val="00463EFB"/>
    <w:rsid w:val="00464ECB"/>
    <w:rsid w:val="0046564B"/>
    <w:rsid w:val="004659D3"/>
    <w:rsid w:val="00465DE3"/>
    <w:rsid w:val="00466318"/>
    <w:rsid w:val="00467C72"/>
    <w:rsid w:val="00467D1F"/>
    <w:rsid w:val="00467ED1"/>
    <w:rsid w:val="004701C6"/>
    <w:rsid w:val="0047042C"/>
    <w:rsid w:val="0047350B"/>
    <w:rsid w:val="00473B52"/>
    <w:rsid w:val="00474BAC"/>
    <w:rsid w:val="00475AF7"/>
    <w:rsid w:val="00475B8F"/>
    <w:rsid w:val="0047626C"/>
    <w:rsid w:val="00476D14"/>
    <w:rsid w:val="004775DB"/>
    <w:rsid w:val="00480FCC"/>
    <w:rsid w:val="004819DD"/>
    <w:rsid w:val="00481E52"/>
    <w:rsid w:val="00482551"/>
    <w:rsid w:val="00482C21"/>
    <w:rsid w:val="004832E6"/>
    <w:rsid w:val="00483F7A"/>
    <w:rsid w:val="00484050"/>
    <w:rsid w:val="00485588"/>
    <w:rsid w:val="00486613"/>
    <w:rsid w:val="00486706"/>
    <w:rsid w:val="00486D80"/>
    <w:rsid w:val="00486EB4"/>
    <w:rsid w:val="004873C1"/>
    <w:rsid w:val="0048773F"/>
    <w:rsid w:val="00491E20"/>
    <w:rsid w:val="004927CD"/>
    <w:rsid w:val="00492AF0"/>
    <w:rsid w:val="00492F16"/>
    <w:rsid w:val="0049332A"/>
    <w:rsid w:val="00493561"/>
    <w:rsid w:val="00494052"/>
    <w:rsid w:val="004972F3"/>
    <w:rsid w:val="00497876"/>
    <w:rsid w:val="004A14E3"/>
    <w:rsid w:val="004A1CE1"/>
    <w:rsid w:val="004A2180"/>
    <w:rsid w:val="004A4083"/>
    <w:rsid w:val="004A5B43"/>
    <w:rsid w:val="004A73CA"/>
    <w:rsid w:val="004A7B0C"/>
    <w:rsid w:val="004B00A9"/>
    <w:rsid w:val="004B0CB4"/>
    <w:rsid w:val="004B2EA4"/>
    <w:rsid w:val="004B4085"/>
    <w:rsid w:val="004B45F3"/>
    <w:rsid w:val="004B48A0"/>
    <w:rsid w:val="004B579B"/>
    <w:rsid w:val="004B591F"/>
    <w:rsid w:val="004B61D0"/>
    <w:rsid w:val="004B6355"/>
    <w:rsid w:val="004B69A9"/>
    <w:rsid w:val="004B69D1"/>
    <w:rsid w:val="004C06B6"/>
    <w:rsid w:val="004C28A6"/>
    <w:rsid w:val="004C359A"/>
    <w:rsid w:val="004C3CD9"/>
    <w:rsid w:val="004C44C6"/>
    <w:rsid w:val="004C4AE9"/>
    <w:rsid w:val="004C5493"/>
    <w:rsid w:val="004C6469"/>
    <w:rsid w:val="004C72F4"/>
    <w:rsid w:val="004C7B35"/>
    <w:rsid w:val="004D0925"/>
    <w:rsid w:val="004D1F03"/>
    <w:rsid w:val="004D2E9C"/>
    <w:rsid w:val="004D31ED"/>
    <w:rsid w:val="004D3826"/>
    <w:rsid w:val="004D44A6"/>
    <w:rsid w:val="004D5432"/>
    <w:rsid w:val="004D6067"/>
    <w:rsid w:val="004D613D"/>
    <w:rsid w:val="004D63D2"/>
    <w:rsid w:val="004D6533"/>
    <w:rsid w:val="004D79A7"/>
    <w:rsid w:val="004E1046"/>
    <w:rsid w:val="004E11B6"/>
    <w:rsid w:val="004E1243"/>
    <w:rsid w:val="004E1FDB"/>
    <w:rsid w:val="004E2036"/>
    <w:rsid w:val="004E2235"/>
    <w:rsid w:val="004E2856"/>
    <w:rsid w:val="004E2BD8"/>
    <w:rsid w:val="004E30B1"/>
    <w:rsid w:val="004E3551"/>
    <w:rsid w:val="004E409C"/>
    <w:rsid w:val="004E4840"/>
    <w:rsid w:val="004E595D"/>
    <w:rsid w:val="004E5F1D"/>
    <w:rsid w:val="004E6118"/>
    <w:rsid w:val="004E646A"/>
    <w:rsid w:val="004E73D0"/>
    <w:rsid w:val="004F00A9"/>
    <w:rsid w:val="004F02FD"/>
    <w:rsid w:val="004F084B"/>
    <w:rsid w:val="004F18B0"/>
    <w:rsid w:val="004F1B56"/>
    <w:rsid w:val="004F218A"/>
    <w:rsid w:val="004F3D96"/>
    <w:rsid w:val="004F3EFE"/>
    <w:rsid w:val="004F40B6"/>
    <w:rsid w:val="004F4F75"/>
    <w:rsid w:val="004F5313"/>
    <w:rsid w:val="004F54A8"/>
    <w:rsid w:val="004F5A13"/>
    <w:rsid w:val="004F5B5F"/>
    <w:rsid w:val="004F714E"/>
    <w:rsid w:val="004F75CA"/>
    <w:rsid w:val="004F7A85"/>
    <w:rsid w:val="00500079"/>
    <w:rsid w:val="00500FA1"/>
    <w:rsid w:val="005019DA"/>
    <w:rsid w:val="00501E50"/>
    <w:rsid w:val="005022A6"/>
    <w:rsid w:val="005026BB"/>
    <w:rsid w:val="00503D80"/>
    <w:rsid w:val="00504CEF"/>
    <w:rsid w:val="00505B50"/>
    <w:rsid w:val="00505FE6"/>
    <w:rsid w:val="005060A0"/>
    <w:rsid w:val="0050620C"/>
    <w:rsid w:val="00506B5D"/>
    <w:rsid w:val="00506EA9"/>
    <w:rsid w:val="00510B83"/>
    <w:rsid w:val="00510C19"/>
    <w:rsid w:val="005112E5"/>
    <w:rsid w:val="0051260C"/>
    <w:rsid w:val="00512678"/>
    <w:rsid w:val="00513852"/>
    <w:rsid w:val="00513A3A"/>
    <w:rsid w:val="00514180"/>
    <w:rsid w:val="00514F26"/>
    <w:rsid w:val="00520210"/>
    <w:rsid w:val="0052167E"/>
    <w:rsid w:val="00521842"/>
    <w:rsid w:val="005229C7"/>
    <w:rsid w:val="005238FB"/>
    <w:rsid w:val="005239AD"/>
    <w:rsid w:val="00524321"/>
    <w:rsid w:val="00524820"/>
    <w:rsid w:val="005267B0"/>
    <w:rsid w:val="005315C9"/>
    <w:rsid w:val="0053172B"/>
    <w:rsid w:val="00531883"/>
    <w:rsid w:val="00532163"/>
    <w:rsid w:val="00532EB6"/>
    <w:rsid w:val="00533492"/>
    <w:rsid w:val="00533D7A"/>
    <w:rsid w:val="00534734"/>
    <w:rsid w:val="00534BF6"/>
    <w:rsid w:val="00535ADD"/>
    <w:rsid w:val="00536C0F"/>
    <w:rsid w:val="005370BD"/>
    <w:rsid w:val="0053741D"/>
    <w:rsid w:val="00537564"/>
    <w:rsid w:val="00537D77"/>
    <w:rsid w:val="00540091"/>
    <w:rsid w:val="00541911"/>
    <w:rsid w:val="00542B93"/>
    <w:rsid w:val="005453C1"/>
    <w:rsid w:val="00545D7D"/>
    <w:rsid w:val="00546C70"/>
    <w:rsid w:val="00553015"/>
    <w:rsid w:val="0055366E"/>
    <w:rsid w:val="005538DF"/>
    <w:rsid w:val="00554A5C"/>
    <w:rsid w:val="00554C95"/>
    <w:rsid w:val="00555571"/>
    <w:rsid w:val="00555CB6"/>
    <w:rsid w:val="00555D3E"/>
    <w:rsid w:val="005566BE"/>
    <w:rsid w:val="0055734A"/>
    <w:rsid w:val="005575C8"/>
    <w:rsid w:val="00560E75"/>
    <w:rsid w:val="00562199"/>
    <w:rsid w:val="00562E3C"/>
    <w:rsid w:val="00562EFE"/>
    <w:rsid w:val="00563390"/>
    <w:rsid w:val="0056362E"/>
    <w:rsid w:val="00563EFB"/>
    <w:rsid w:val="00564271"/>
    <w:rsid w:val="0056456E"/>
    <w:rsid w:val="00564793"/>
    <w:rsid w:val="00564BC9"/>
    <w:rsid w:val="00564F87"/>
    <w:rsid w:val="00565A3F"/>
    <w:rsid w:val="005662BF"/>
    <w:rsid w:val="005662DD"/>
    <w:rsid w:val="00566C0B"/>
    <w:rsid w:val="00566DB7"/>
    <w:rsid w:val="00567123"/>
    <w:rsid w:val="005674C4"/>
    <w:rsid w:val="005674DF"/>
    <w:rsid w:val="005676B2"/>
    <w:rsid w:val="00571250"/>
    <w:rsid w:val="00571364"/>
    <w:rsid w:val="00571ADC"/>
    <w:rsid w:val="00573485"/>
    <w:rsid w:val="00574597"/>
    <w:rsid w:val="00574F10"/>
    <w:rsid w:val="00575172"/>
    <w:rsid w:val="00576436"/>
    <w:rsid w:val="00576576"/>
    <w:rsid w:val="005771E7"/>
    <w:rsid w:val="0058012D"/>
    <w:rsid w:val="00581145"/>
    <w:rsid w:val="00581FAD"/>
    <w:rsid w:val="00582D2F"/>
    <w:rsid w:val="00583ADE"/>
    <w:rsid w:val="00583D97"/>
    <w:rsid w:val="005847AE"/>
    <w:rsid w:val="00584F59"/>
    <w:rsid w:val="0058507F"/>
    <w:rsid w:val="005861F2"/>
    <w:rsid w:val="005865E7"/>
    <w:rsid w:val="005867A6"/>
    <w:rsid w:val="00587158"/>
    <w:rsid w:val="005871D8"/>
    <w:rsid w:val="0058752C"/>
    <w:rsid w:val="0058777B"/>
    <w:rsid w:val="00587F51"/>
    <w:rsid w:val="005902FB"/>
    <w:rsid w:val="00590EEA"/>
    <w:rsid w:val="00592EA8"/>
    <w:rsid w:val="00593914"/>
    <w:rsid w:val="005939CC"/>
    <w:rsid w:val="00593E86"/>
    <w:rsid w:val="0059434C"/>
    <w:rsid w:val="00595788"/>
    <w:rsid w:val="00595B24"/>
    <w:rsid w:val="00595B32"/>
    <w:rsid w:val="00596209"/>
    <w:rsid w:val="00596896"/>
    <w:rsid w:val="00596966"/>
    <w:rsid w:val="005969C8"/>
    <w:rsid w:val="005976AF"/>
    <w:rsid w:val="00597E2E"/>
    <w:rsid w:val="005A00AA"/>
    <w:rsid w:val="005A0F4B"/>
    <w:rsid w:val="005A0FB1"/>
    <w:rsid w:val="005A107F"/>
    <w:rsid w:val="005A1F7A"/>
    <w:rsid w:val="005A29BE"/>
    <w:rsid w:val="005A2EE6"/>
    <w:rsid w:val="005A5321"/>
    <w:rsid w:val="005A53A1"/>
    <w:rsid w:val="005A6ECA"/>
    <w:rsid w:val="005A76B5"/>
    <w:rsid w:val="005B082D"/>
    <w:rsid w:val="005B3AAB"/>
    <w:rsid w:val="005B4B42"/>
    <w:rsid w:val="005B4FC9"/>
    <w:rsid w:val="005B59E4"/>
    <w:rsid w:val="005B5BD4"/>
    <w:rsid w:val="005B60BC"/>
    <w:rsid w:val="005B6476"/>
    <w:rsid w:val="005B6B9D"/>
    <w:rsid w:val="005C0812"/>
    <w:rsid w:val="005C0A87"/>
    <w:rsid w:val="005C0B2B"/>
    <w:rsid w:val="005C0CA9"/>
    <w:rsid w:val="005C14BC"/>
    <w:rsid w:val="005C1CE8"/>
    <w:rsid w:val="005C210B"/>
    <w:rsid w:val="005C314D"/>
    <w:rsid w:val="005C3495"/>
    <w:rsid w:val="005C3647"/>
    <w:rsid w:val="005C36FC"/>
    <w:rsid w:val="005C489B"/>
    <w:rsid w:val="005C579E"/>
    <w:rsid w:val="005C63FB"/>
    <w:rsid w:val="005C6934"/>
    <w:rsid w:val="005C7911"/>
    <w:rsid w:val="005D03E7"/>
    <w:rsid w:val="005D0501"/>
    <w:rsid w:val="005D0CC6"/>
    <w:rsid w:val="005D1367"/>
    <w:rsid w:val="005D1F9E"/>
    <w:rsid w:val="005D2197"/>
    <w:rsid w:val="005D25A2"/>
    <w:rsid w:val="005D32BA"/>
    <w:rsid w:val="005D4BF8"/>
    <w:rsid w:val="005D50D0"/>
    <w:rsid w:val="005D580C"/>
    <w:rsid w:val="005D5D26"/>
    <w:rsid w:val="005D6EAF"/>
    <w:rsid w:val="005D730C"/>
    <w:rsid w:val="005D73B0"/>
    <w:rsid w:val="005D757F"/>
    <w:rsid w:val="005E0FAF"/>
    <w:rsid w:val="005E1B77"/>
    <w:rsid w:val="005E1CDB"/>
    <w:rsid w:val="005E3920"/>
    <w:rsid w:val="005E48D9"/>
    <w:rsid w:val="005E6E4E"/>
    <w:rsid w:val="005E7922"/>
    <w:rsid w:val="005E7EDB"/>
    <w:rsid w:val="005F0292"/>
    <w:rsid w:val="005F04AD"/>
    <w:rsid w:val="005F1E73"/>
    <w:rsid w:val="005F25F4"/>
    <w:rsid w:val="005F32BC"/>
    <w:rsid w:val="005F4AC0"/>
    <w:rsid w:val="005F5662"/>
    <w:rsid w:val="005F6499"/>
    <w:rsid w:val="005F67D9"/>
    <w:rsid w:val="005F6C6D"/>
    <w:rsid w:val="006011BD"/>
    <w:rsid w:val="006011F8"/>
    <w:rsid w:val="006014ED"/>
    <w:rsid w:val="00601C31"/>
    <w:rsid w:val="00602699"/>
    <w:rsid w:val="00602F51"/>
    <w:rsid w:val="00603726"/>
    <w:rsid w:val="006037D1"/>
    <w:rsid w:val="00604F2F"/>
    <w:rsid w:val="0060679A"/>
    <w:rsid w:val="00606C63"/>
    <w:rsid w:val="00606FDA"/>
    <w:rsid w:val="00610193"/>
    <w:rsid w:val="006104CF"/>
    <w:rsid w:val="0061059E"/>
    <w:rsid w:val="0061082E"/>
    <w:rsid w:val="0061117E"/>
    <w:rsid w:val="00611989"/>
    <w:rsid w:val="00611B8A"/>
    <w:rsid w:val="00611DA0"/>
    <w:rsid w:val="006128AC"/>
    <w:rsid w:val="00612C63"/>
    <w:rsid w:val="00613065"/>
    <w:rsid w:val="00613D5F"/>
    <w:rsid w:val="006159E1"/>
    <w:rsid w:val="006177BD"/>
    <w:rsid w:val="00620266"/>
    <w:rsid w:val="006204BC"/>
    <w:rsid w:val="00620F08"/>
    <w:rsid w:val="006216A7"/>
    <w:rsid w:val="00622435"/>
    <w:rsid w:val="00622C7D"/>
    <w:rsid w:val="0062354D"/>
    <w:rsid w:val="006235FF"/>
    <w:rsid w:val="006236AE"/>
    <w:rsid w:val="00623F39"/>
    <w:rsid w:val="00625926"/>
    <w:rsid w:val="0062675E"/>
    <w:rsid w:val="00626D00"/>
    <w:rsid w:val="00626DD6"/>
    <w:rsid w:val="006302E1"/>
    <w:rsid w:val="006305FF"/>
    <w:rsid w:val="00630662"/>
    <w:rsid w:val="00631A90"/>
    <w:rsid w:val="00632F2C"/>
    <w:rsid w:val="00633544"/>
    <w:rsid w:val="0063363C"/>
    <w:rsid w:val="006339A9"/>
    <w:rsid w:val="006348D1"/>
    <w:rsid w:val="0063552F"/>
    <w:rsid w:val="006358F3"/>
    <w:rsid w:val="00635B02"/>
    <w:rsid w:val="00635CE3"/>
    <w:rsid w:val="0063728A"/>
    <w:rsid w:val="00637A4C"/>
    <w:rsid w:val="0064211E"/>
    <w:rsid w:val="00642958"/>
    <w:rsid w:val="00643675"/>
    <w:rsid w:val="00643694"/>
    <w:rsid w:val="0064374C"/>
    <w:rsid w:val="006445E8"/>
    <w:rsid w:val="0064526F"/>
    <w:rsid w:val="0064554D"/>
    <w:rsid w:val="006456C3"/>
    <w:rsid w:val="006475DC"/>
    <w:rsid w:val="00647A2F"/>
    <w:rsid w:val="00647B98"/>
    <w:rsid w:val="006500C9"/>
    <w:rsid w:val="006505CE"/>
    <w:rsid w:val="00651A10"/>
    <w:rsid w:val="00652A7E"/>
    <w:rsid w:val="00653434"/>
    <w:rsid w:val="006539E7"/>
    <w:rsid w:val="006549D0"/>
    <w:rsid w:val="00654AD8"/>
    <w:rsid w:val="00657AAF"/>
    <w:rsid w:val="006607DD"/>
    <w:rsid w:val="00661B4F"/>
    <w:rsid w:val="00662520"/>
    <w:rsid w:val="00662A48"/>
    <w:rsid w:val="0066317A"/>
    <w:rsid w:val="00663253"/>
    <w:rsid w:val="00664893"/>
    <w:rsid w:val="006654AD"/>
    <w:rsid w:val="00665C16"/>
    <w:rsid w:val="00666A40"/>
    <w:rsid w:val="00667247"/>
    <w:rsid w:val="00667450"/>
    <w:rsid w:val="006678F4"/>
    <w:rsid w:val="00670A5A"/>
    <w:rsid w:val="00670D61"/>
    <w:rsid w:val="00671E48"/>
    <w:rsid w:val="00672334"/>
    <w:rsid w:val="006730A9"/>
    <w:rsid w:val="0067350A"/>
    <w:rsid w:val="00673E6C"/>
    <w:rsid w:val="00673F9C"/>
    <w:rsid w:val="006747D1"/>
    <w:rsid w:val="0067494A"/>
    <w:rsid w:val="0067544F"/>
    <w:rsid w:val="006773C4"/>
    <w:rsid w:val="00677795"/>
    <w:rsid w:val="006778DD"/>
    <w:rsid w:val="00677A35"/>
    <w:rsid w:val="00677A78"/>
    <w:rsid w:val="00680C39"/>
    <w:rsid w:val="00681FD1"/>
    <w:rsid w:val="00682E63"/>
    <w:rsid w:val="00685C89"/>
    <w:rsid w:val="006871AC"/>
    <w:rsid w:val="00687702"/>
    <w:rsid w:val="00687DA7"/>
    <w:rsid w:val="0069012E"/>
    <w:rsid w:val="00690CC0"/>
    <w:rsid w:val="00692DF7"/>
    <w:rsid w:val="0069301F"/>
    <w:rsid w:val="00693104"/>
    <w:rsid w:val="0069347E"/>
    <w:rsid w:val="00693705"/>
    <w:rsid w:val="0069444A"/>
    <w:rsid w:val="006955F7"/>
    <w:rsid w:val="00695A28"/>
    <w:rsid w:val="00695CE7"/>
    <w:rsid w:val="00696061"/>
    <w:rsid w:val="00697928"/>
    <w:rsid w:val="00697D7E"/>
    <w:rsid w:val="006A1451"/>
    <w:rsid w:val="006A220F"/>
    <w:rsid w:val="006A3D02"/>
    <w:rsid w:val="006A5206"/>
    <w:rsid w:val="006A6632"/>
    <w:rsid w:val="006A66C0"/>
    <w:rsid w:val="006A6D16"/>
    <w:rsid w:val="006A6F16"/>
    <w:rsid w:val="006A73C6"/>
    <w:rsid w:val="006A7826"/>
    <w:rsid w:val="006B0028"/>
    <w:rsid w:val="006B0348"/>
    <w:rsid w:val="006B0ADC"/>
    <w:rsid w:val="006B0DCB"/>
    <w:rsid w:val="006B10D3"/>
    <w:rsid w:val="006B2249"/>
    <w:rsid w:val="006B230F"/>
    <w:rsid w:val="006B251C"/>
    <w:rsid w:val="006B25B0"/>
    <w:rsid w:val="006B285E"/>
    <w:rsid w:val="006B2D56"/>
    <w:rsid w:val="006B37FA"/>
    <w:rsid w:val="006B3FEA"/>
    <w:rsid w:val="006B471E"/>
    <w:rsid w:val="006B4D32"/>
    <w:rsid w:val="006B4DD3"/>
    <w:rsid w:val="006B67E1"/>
    <w:rsid w:val="006B7798"/>
    <w:rsid w:val="006C0121"/>
    <w:rsid w:val="006C27C7"/>
    <w:rsid w:val="006C27CA"/>
    <w:rsid w:val="006C2A81"/>
    <w:rsid w:val="006C2F62"/>
    <w:rsid w:val="006C32F9"/>
    <w:rsid w:val="006C3972"/>
    <w:rsid w:val="006C4F8F"/>
    <w:rsid w:val="006C51F1"/>
    <w:rsid w:val="006C7293"/>
    <w:rsid w:val="006D0846"/>
    <w:rsid w:val="006D1167"/>
    <w:rsid w:val="006D1D22"/>
    <w:rsid w:val="006D1F88"/>
    <w:rsid w:val="006D25E5"/>
    <w:rsid w:val="006D2E13"/>
    <w:rsid w:val="006D5419"/>
    <w:rsid w:val="006D578A"/>
    <w:rsid w:val="006D5C28"/>
    <w:rsid w:val="006D67C7"/>
    <w:rsid w:val="006E0577"/>
    <w:rsid w:val="006E0628"/>
    <w:rsid w:val="006E2256"/>
    <w:rsid w:val="006E2D5D"/>
    <w:rsid w:val="006E3832"/>
    <w:rsid w:val="006E46AF"/>
    <w:rsid w:val="006E4F01"/>
    <w:rsid w:val="006E5EAE"/>
    <w:rsid w:val="006E5ECA"/>
    <w:rsid w:val="006E68AB"/>
    <w:rsid w:val="006E705A"/>
    <w:rsid w:val="006E7316"/>
    <w:rsid w:val="006E7462"/>
    <w:rsid w:val="006F0552"/>
    <w:rsid w:val="006F058B"/>
    <w:rsid w:val="006F05A5"/>
    <w:rsid w:val="006F15B1"/>
    <w:rsid w:val="006F1E63"/>
    <w:rsid w:val="006F222F"/>
    <w:rsid w:val="006F29E0"/>
    <w:rsid w:val="006F2B19"/>
    <w:rsid w:val="006F2C01"/>
    <w:rsid w:val="006F359C"/>
    <w:rsid w:val="006F3BA3"/>
    <w:rsid w:val="006F3D63"/>
    <w:rsid w:val="006F3DF5"/>
    <w:rsid w:val="006F410C"/>
    <w:rsid w:val="006F6549"/>
    <w:rsid w:val="006F752B"/>
    <w:rsid w:val="0070150F"/>
    <w:rsid w:val="0070160A"/>
    <w:rsid w:val="007017E3"/>
    <w:rsid w:val="007019AF"/>
    <w:rsid w:val="0070200C"/>
    <w:rsid w:val="00702CF9"/>
    <w:rsid w:val="00703CFC"/>
    <w:rsid w:val="007048A8"/>
    <w:rsid w:val="00704952"/>
    <w:rsid w:val="00704AEA"/>
    <w:rsid w:val="00704F56"/>
    <w:rsid w:val="00705DFA"/>
    <w:rsid w:val="00706685"/>
    <w:rsid w:val="00707264"/>
    <w:rsid w:val="007072DA"/>
    <w:rsid w:val="00707C22"/>
    <w:rsid w:val="0071120F"/>
    <w:rsid w:val="00711449"/>
    <w:rsid w:val="00711BE2"/>
    <w:rsid w:val="007131B0"/>
    <w:rsid w:val="007139BF"/>
    <w:rsid w:val="00714212"/>
    <w:rsid w:val="007142B1"/>
    <w:rsid w:val="00714436"/>
    <w:rsid w:val="007150E1"/>
    <w:rsid w:val="00715735"/>
    <w:rsid w:val="0071630E"/>
    <w:rsid w:val="00716C1C"/>
    <w:rsid w:val="007178E2"/>
    <w:rsid w:val="0072015C"/>
    <w:rsid w:val="007211B8"/>
    <w:rsid w:val="007218BF"/>
    <w:rsid w:val="00722C78"/>
    <w:rsid w:val="00722DA7"/>
    <w:rsid w:val="00723188"/>
    <w:rsid w:val="007240B2"/>
    <w:rsid w:val="00724193"/>
    <w:rsid w:val="00724637"/>
    <w:rsid w:val="00725037"/>
    <w:rsid w:val="00725EE6"/>
    <w:rsid w:val="0072662D"/>
    <w:rsid w:val="0072706B"/>
    <w:rsid w:val="00727BBD"/>
    <w:rsid w:val="00727EA4"/>
    <w:rsid w:val="007306B3"/>
    <w:rsid w:val="00730759"/>
    <w:rsid w:val="00730D81"/>
    <w:rsid w:val="007317F9"/>
    <w:rsid w:val="0073238D"/>
    <w:rsid w:val="007323A9"/>
    <w:rsid w:val="00732ACD"/>
    <w:rsid w:val="00732F70"/>
    <w:rsid w:val="00733195"/>
    <w:rsid w:val="00733504"/>
    <w:rsid w:val="0073354B"/>
    <w:rsid w:val="007335AC"/>
    <w:rsid w:val="00733A55"/>
    <w:rsid w:val="007359B2"/>
    <w:rsid w:val="00735FFC"/>
    <w:rsid w:val="00736018"/>
    <w:rsid w:val="00737161"/>
    <w:rsid w:val="007401EF"/>
    <w:rsid w:val="0074113B"/>
    <w:rsid w:val="007412A4"/>
    <w:rsid w:val="00741C50"/>
    <w:rsid w:val="00741EC9"/>
    <w:rsid w:val="00741ED5"/>
    <w:rsid w:val="00742C6C"/>
    <w:rsid w:val="007432DB"/>
    <w:rsid w:val="007453C1"/>
    <w:rsid w:val="00745718"/>
    <w:rsid w:val="00746DC8"/>
    <w:rsid w:val="00747B33"/>
    <w:rsid w:val="00747FE0"/>
    <w:rsid w:val="00750B43"/>
    <w:rsid w:val="00750C2A"/>
    <w:rsid w:val="00751509"/>
    <w:rsid w:val="00751689"/>
    <w:rsid w:val="00751842"/>
    <w:rsid w:val="007524D2"/>
    <w:rsid w:val="00752B0E"/>
    <w:rsid w:val="00753DFB"/>
    <w:rsid w:val="00754A9D"/>
    <w:rsid w:val="00755238"/>
    <w:rsid w:val="007554EB"/>
    <w:rsid w:val="00755969"/>
    <w:rsid w:val="007560FE"/>
    <w:rsid w:val="00757D36"/>
    <w:rsid w:val="007604B2"/>
    <w:rsid w:val="00760613"/>
    <w:rsid w:val="00760A76"/>
    <w:rsid w:val="00760B4C"/>
    <w:rsid w:val="00761457"/>
    <w:rsid w:val="007622F5"/>
    <w:rsid w:val="00762AD7"/>
    <w:rsid w:val="00762B5C"/>
    <w:rsid w:val="00763374"/>
    <w:rsid w:val="007633BB"/>
    <w:rsid w:val="00763FAA"/>
    <w:rsid w:val="00764B6C"/>
    <w:rsid w:val="00765792"/>
    <w:rsid w:val="00765BA5"/>
    <w:rsid w:val="00765BF6"/>
    <w:rsid w:val="00765CF0"/>
    <w:rsid w:val="007662BB"/>
    <w:rsid w:val="00766A32"/>
    <w:rsid w:val="00767445"/>
    <w:rsid w:val="007674BC"/>
    <w:rsid w:val="00767CFE"/>
    <w:rsid w:val="00767D38"/>
    <w:rsid w:val="00770B55"/>
    <w:rsid w:val="007711DD"/>
    <w:rsid w:val="007720FD"/>
    <w:rsid w:val="007724CF"/>
    <w:rsid w:val="00772E48"/>
    <w:rsid w:val="00773640"/>
    <w:rsid w:val="007746C8"/>
    <w:rsid w:val="007753AA"/>
    <w:rsid w:val="00776EB2"/>
    <w:rsid w:val="00777356"/>
    <w:rsid w:val="00780A7D"/>
    <w:rsid w:val="007815ED"/>
    <w:rsid w:val="00782EAF"/>
    <w:rsid w:val="00783BC8"/>
    <w:rsid w:val="007840C0"/>
    <w:rsid w:val="00784D6D"/>
    <w:rsid w:val="00786359"/>
    <w:rsid w:val="00786C91"/>
    <w:rsid w:val="00790010"/>
    <w:rsid w:val="00790E51"/>
    <w:rsid w:val="00792E91"/>
    <w:rsid w:val="00793410"/>
    <w:rsid w:val="00793507"/>
    <w:rsid w:val="00793D54"/>
    <w:rsid w:val="00793EF1"/>
    <w:rsid w:val="0079413D"/>
    <w:rsid w:val="007949F0"/>
    <w:rsid w:val="00794C70"/>
    <w:rsid w:val="00794DE3"/>
    <w:rsid w:val="00795178"/>
    <w:rsid w:val="00796EDF"/>
    <w:rsid w:val="007970A1"/>
    <w:rsid w:val="0079799F"/>
    <w:rsid w:val="007A0AF0"/>
    <w:rsid w:val="007A0F79"/>
    <w:rsid w:val="007A23B3"/>
    <w:rsid w:val="007A37B4"/>
    <w:rsid w:val="007A37B9"/>
    <w:rsid w:val="007A3E4E"/>
    <w:rsid w:val="007A40D9"/>
    <w:rsid w:val="007A4889"/>
    <w:rsid w:val="007A4E94"/>
    <w:rsid w:val="007A5F5C"/>
    <w:rsid w:val="007A676C"/>
    <w:rsid w:val="007A6D33"/>
    <w:rsid w:val="007A7015"/>
    <w:rsid w:val="007A77BD"/>
    <w:rsid w:val="007B0C98"/>
    <w:rsid w:val="007B11AD"/>
    <w:rsid w:val="007B1C20"/>
    <w:rsid w:val="007B4729"/>
    <w:rsid w:val="007B535A"/>
    <w:rsid w:val="007B5DD4"/>
    <w:rsid w:val="007B6957"/>
    <w:rsid w:val="007B6F65"/>
    <w:rsid w:val="007B7DC8"/>
    <w:rsid w:val="007C0C63"/>
    <w:rsid w:val="007C1245"/>
    <w:rsid w:val="007C2666"/>
    <w:rsid w:val="007C294B"/>
    <w:rsid w:val="007C2D8A"/>
    <w:rsid w:val="007C2E2A"/>
    <w:rsid w:val="007C388C"/>
    <w:rsid w:val="007C395E"/>
    <w:rsid w:val="007C3B56"/>
    <w:rsid w:val="007C3CBB"/>
    <w:rsid w:val="007C4B5F"/>
    <w:rsid w:val="007C5349"/>
    <w:rsid w:val="007C6091"/>
    <w:rsid w:val="007C62DC"/>
    <w:rsid w:val="007C6669"/>
    <w:rsid w:val="007C6D94"/>
    <w:rsid w:val="007C6E5B"/>
    <w:rsid w:val="007C7AF3"/>
    <w:rsid w:val="007C7F75"/>
    <w:rsid w:val="007D0773"/>
    <w:rsid w:val="007D0963"/>
    <w:rsid w:val="007D35D3"/>
    <w:rsid w:val="007D3E02"/>
    <w:rsid w:val="007D46F0"/>
    <w:rsid w:val="007D584E"/>
    <w:rsid w:val="007D6A82"/>
    <w:rsid w:val="007D780C"/>
    <w:rsid w:val="007D7D35"/>
    <w:rsid w:val="007E00E8"/>
    <w:rsid w:val="007E1086"/>
    <w:rsid w:val="007E1284"/>
    <w:rsid w:val="007E149F"/>
    <w:rsid w:val="007E1547"/>
    <w:rsid w:val="007E27C0"/>
    <w:rsid w:val="007E3DD7"/>
    <w:rsid w:val="007E54C6"/>
    <w:rsid w:val="007E573D"/>
    <w:rsid w:val="007E6076"/>
    <w:rsid w:val="007E62A5"/>
    <w:rsid w:val="007E6731"/>
    <w:rsid w:val="007E7102"/>
    <w:rsid w:val="007F0C6C"/>
    <w:rsid w:val="007F10F0"/>
    <w:rsid w:val="007F1461"/>
    <w:rsid w:val="007F1806"/>
    <w:rsid w:val="007F266C"/>
    <w:rsid w:val="007F3113"/>
    <w:rsid w:val="007F3FB3"/>
    <w:rsid w:val="007F496C"/>
    <w:rsid w:val="007F518A"/>
    <w:rsid w:val="007F6144"/>
    <w:rsid w:val="007F6A69"/>
    <w:rsid w:val="007F6D22"/>
    <w:rsid w:val="007F6D2E"/>
    <w:rsid w:val="007F7811"/>
    <w:rsid w:val="008004B3"/>
    <w:rsid w:val="008006CB"/>
    <w:rsid w:val="00800800"/>
    <w:rsid w:val="008017C7"/>
    <w:rsid w:val="008018AC"/>
    <w:rsid w:val="0080216C"/>
    <w:rsid w:val="00802EB9"/>
    <w:rsid w:val="008044BA"/>
    <w:rsid w:val="00804C06"/>
    <w:rsid w:val="00804DE2"/>
    <w:rsid w:val="00805DE3"/>
    <w:rsid w:val="00805E82"/>
    <w:rsid w:val="008060D5"/>
    <w:rsid w:val="0080632A"/>
    <w:rsid w:val="0080746B"/>
    <w:rsid w:val="00810DD8"/>
    <w:rsid w:val="00811694"/>
    <w:rsid w:val="008118BE"/>
    <w:rsid w:val="00812BCD"/>
    <w:rsid w:val="00813B79"/>
    <w:rsid w:val="008142FE"/>
    <w:rsid w:val="008143CA"/>
    <w:rsid w:val="008146F0"/>
    <w:rsid w:val="00814DC0"/>
    <w:rsid w:val="00815ED6"/>
    <w:rsid w:val="00816162"/>
    <w:rsid w:val="00816475"/>
    <w:rsid w:val="008173B5"/>
    <w:rsid w:val="0081782C"/>
    <w:rsid w:val="00820A73"/>
    <w:rsid w:val="00820C5B"/>
    <w:rsid w:val="00821226"/>
    <w:rsid w:val="0082122E"/>
    <w:rsid w:val="00821680"/>
    <w:rsid w:val="00821AA6"/>
    <w:rsid w:val="00821ADA"/>
    <w:rsid w:val="00821DBD"/>
    <w:rsid w:val="00821E6A"/>
    <w:rsid w:val="00822339"/>
    <w:rsid w:val="00822530"/>
    <w:rsid w:val="0082361E"/>
    <w:rsid w:val="008237CB"/>
    <w:rsid w:val="00823A95"/>
    <w:rsid w:val="00824D6E"/>
    <w:rsid w:val="0082547B"/>
    <w:rsid w:val="00825728"/>
    <w:rsid w:val="008267BA"/>
    <w:rsid w:val="00826E9C"/>
    <w:rsid w:val="00827882"/>
    <w:rsid w:val="00831094"/>
    <w:rsid w:val="00833150"/>
    <w:rsid w:val="0083657D"/>
    <w:rsid w:val="008404D0"/>
    <w:rsid w:val="00840778"/>
    <w:rsid w:val="00841BC9"/>
    <w:rsid w:val="0084233C"/>
    <w:rsid w:val="00843610"/>
    <w:rsid w:val="0084374B"/>
    <w:rsid w:val="00844686"/>
    <w:rsid w:val="00844808"/>
    <w:rsid w:val="00844F1D"/>
    <w:rsid w:val="008470A3"/>
    <w:rsid w:val="008473FA"/>
    <w:rsid w:val="008501EB"/>
    <w:rsid w:val="0085050C"/>
    <w:rsid w:val="008536A3"/>
    <w:rsid w:val="00854FA9"/>
    <w:rsid w:val="00855EE1"/>
    <w:rsid w:val="0085600C"/>
    <w:rsid w:val="0085610E"/>
    <w:rsid w:val="008562D6"/>
    <w:rsid w:val="00857AB2"/>
    <w:rsid w:val="0086167D"/>
    <w:rsid w:val="00861774"/>
    <w:rsid w:val="00862565"/>
    <w:rsid w:val="00862A8D"/>
    <w:rsid w:val="00863526"/>
    <w:rsid w:val="00863EC5"/>
    <w:rsid w:val="00863EE4"/>
    <w:rsid w:val="00864A75"/>
    <w:rsid w:val="0086535A"/>
    <w:rsid w:val="00865BCA"/>
    <w:rsid w:val="00866764"/>
    <w:rsid w:val="0086691E"/>
    <w:rsid w:val="00870B82"/>
    <w:rsid w:val="008730C8"/>
    <w:rsid w:val="0087335E"/>
    <w:rsid w:val="0087479B"/>
    <w:rsid w:val="00874BE9"/>
    <w:rsid w:val="0087532F"/>
    <w:rsid w:val="00875652"/>
    <w:rsid w:val="00877502"/>
    <w:rsid w:val="00880619"/>
    <w:rsid w:val="00882712"/>
    <w:rsid w:val="00882B3E"/>
    <w:rsid w:val="0088496C"/>
    <w:rsid w:val="00884CEF"/>
    <w:rsid w:val="00885848"/>
    <w:rsid w:val="008861C6"/>
    <w:rsid w:val="00886470"/>
    <w:rsid w:val="00886B08"/>
    <w:rsid w:val="008873CC"/>
    <w:rsid w:val="008878EA"/>
    <w:rsid w:val="0089012A"/>
    <w:rsid w:val="008906B8"/>
    <w:rsid w:val="0089078B"/>
    <w:rsid w:val="00890AB2"/>
    <w:rsid w:val="008935BF"/>
    <w:rsid w:val="00893DCE"/>
    <w:rsid w:val="00894277"/>
    <w:rsid w:val="00894472"/>
    <w:rsid w:val="008953A9"/>
    <w:rsid w:val="00895992"/>
    <w:rsid w:val="00895D3A"/>
    <w:rsid w:val="0089674B"/>
    <w:rsid w:val="008A0D82"/>
    <w:rsid w:val="008A1503"/>
    <w:rsid w:val="008A2535"/>
    <w:rsid w:val="008A4270"/>
    <w:rsid w:val="008A45C5"/>
    <w:rsid w:val="008A49F5"/>
    <w:rsid w:val="008A51A5"/>
    <w:rsid w:val="008A68F2"/>
    <w:rsid w:val="008A6DA9"/>
    <w:rsid w:val="008A7AE9"/>
    <w:rsid w:val="008A7E51"/>
    <w:rsid w:val="008B09B0"/>
    <w:rsid w:val="008B10B3"/>
    <w:rsid w:val="008B1DA8"/>
    <w:rsid w:val="008B24C4"/>
    <w:rsid w:val="008B3B24"/>
    <w:rsid w:val="008B3E8F"/>
    <w:rsid w:val="008B406D"/>
    <w:rsid w:val="008B4170"/>
    <w:rsid w:val="008B4F03"/>
    <w:rsid w:val="008B504A"/>
    <w:rsid w:val="008B5F14"/>
    <w:rsid w:val="008B6C98"/>
    <w:rsid w:val="008B7131"/>
    <w:rsid w:val="008C1065"/>
    <w:rsid w:val="008C1110"/>
    <w:rsid w:val="008C1936"/>
    <w:rsid w:val="008C1E9D"/>
    <w:rsid w:val="008C2FEC"/>
    <w:rsid w:val="008C3F42"/>
    <w:rsid w:val="008C51C5"/>
    <w:rsid w:val="008C5E9F"/>
    <w:rsid w:val="008C6213"/>
    <w:rsid w:val="008C6552"/>
    <w:rsid w:val="008C703F"/>
    <w:rsid w:val="008C717A"/>
    <w:rsid w:val="008C733E"/>
    <w:rsid w:val="008C7C16"/>
    <w:rsid w:val="008D0854"/>
    <w:rsid w:val="008D20A8"/>
    <w:rsid w:val="008D2289"/>
    <w:rsid w:val="008D2BD4"/>
    <w:rsid w:val="008D2CA7"/>
    <w:rsid w:val="008D3940"/>
    <w:rsid w:val="008D3BA4"/>
    <w:rsid w:val="008D3EE9"/>
    <w:rsid w:val="008D445E"/>
    <w:rsid w:val="008D4A2D"/>
    <w:rsid w:val="008D5C5A"/>
    <w:rsid w:val="008D5FA9"/>
    <w:rsid w:val="008D6391"/>
    <w:rsid w:val="008E0241"/>
    <w:rsid w:val="008E04A4"/>
    <w:rsid w:val="008E1D72"/>
    <w:rsid w:val="008E2020"/>
    <w:rsid w:val="008E4135"/>
    <w:rsid w:val="008E45EC"/>
    <w:rsid w:val="008E52D3"/>
    <w:rsid w:val="008E570A"/>
    <w:rsid w:val="008E5B9E"/>
    <w:rsid w:val="008E5E2B"/>
    <w:rsid w:val="008E62B6"/>
    <w:rsid w:val="008E68CA"/>
    <w:rsid w:val="008E7334"/>
    <w:rsid w:val="008E751E"/>
    <w:rsid w:val="008E78CC"/>
    <w:rsid w:val="008F0E7E"/>
    <w:rsid w:val="008F1646"/>
    <w:rsid w:val="008F1F0A"/>
    <w:rsid w:val="008F21AE"/>
    <w:rsid w:val="008F2660"/>
    <w:rsid w:val="008F330E"/>
    <w:rsid w:val="008F40A5"/>
    <w:rsid w:val="008F421C"/>
    <w:rsid w:val="008F554C"/>
    <w:rsid w:val="008F5EE6"/>
    <w:rsid w:val="008F6CBC"/>
    <w:rsid w:val="008F707A"/>
    <w:rsid w:val="0090101B"/>
    <w:rsid w:val="00901902"/>
    <w:rsid w:val="0090279C"/>
    <w:rsid w:val="0090302D"/>
    <w:rsid w:val="00903225"/>
    <w:rsid w:val="0090338D"/>
    <w:rsid w:val="0090346E"/>
    <w:rsid w:val="00903644"/>
    <w:rsid w:val="00904CA1"/>
    <w:rsid w:val="00904F16"/>
    <w:rsid w:val="00904F20"/>
    <w:rsid w:val="0090582F"/>
    <w:rsid w:val="00905C62"/>
    <w:rsid w:val="00905CBA"/>
    <w:rsid w:val="0090633C"/>
    <w:rsid w:val="00906675"/>
    <w:rsid w:val="00906D91"/>
    <w:rsid w:val="00907E21"/>
    <w:rsid w:val="0091113E"/>
    <w:rsid w:val="0091130F"/>
    <w:rsid w:val="009114F6"/>
    <w:rsid w:val="00911526"/>
    <w:rsid w:val="00911E7C"/>
    <w:rsid w:val="00913519"/>
    <w:rsid w:val="009138EA"/>
    <w:rsid w:val="009156DF"/>
    <w:rsid w:val="009164F2"/>
    <w:rsid w:val="009166F2"/>
    <w:rsid w:val="0091710C"/>
    <w:rsid w:val="00920478"/>
    <w:rsid w:val="00920492"/>
    <w:rsid w:val="00921158"/>
    <w:rsid w:val="0092188A"/>
    <w:rsid w:val="00921BC2"/>
    <w:rsid w:val="009232FC"/>
    <w:rsid w:val="0092363F"/>
    <w:rsid w:val="00924A52"/>
    <w:rsid w:val="0092508D"/>
    <w:rsid w:val="0092634B"/>
    <w:rsid w:val="0092715F"/>
    <w:rsid w:val="009275E2"/>
    <w:rsid w:val="00927714"/>
    <w:rsid w:val="0093092D"/>
    <w:rsid w:val="00930C6B"/>
    <w:rsid w:val="0093193C"/>
    <w:rsid w:val="00932A51"/>
    <w:rsid w:val="00933353"/>
    <w:rsid w:val="00933A5A"/>
    <w:rsid w:val="009342D3"/>
    <w:rsid w:val="009347FC"/>
    <w:rsid w:val="0093544C"/>
    <w:rsid w:val="00937152"/>
    <w:rsid w:val="009405A0"/>
    <w:rsid w:val="009416B8"/>
    <w:rsid w:val="009427AC"/>
    <w:rsid w:val="00942879"/>
    <w:rsid w:val="00943E46"/>
    <w:rsid w:val="00944066"/>
    <w:rsid w:val="00944640"/>
    <w:rsid w:val="0094577C"/>
    <w:rsid w:val="009458DF"/>
    <w:rsid w:val="00946624"/>
    <w:rsid w:val="009466FC"/>
    <w:rsid w:val="00950CBF"/>
    <w:rsid w:val="00950FA8"/>
    <w:rsid w:val="009513E7"/>
    <w:rsid w:val="00953798"/>
    <w:rsid w:val="009548A4"/>
    <w:rsid w:val="00954CD4"/>
    <w:rsid w:val="00954CE3"/>
    <w:rsid w:val="0095551F"/>
    <w:rsid w:val="009559B4"/>
    <w:rsid w:val="0095612B"/>
    <w:rsid w:val="009569A3"/>
    <w:rsid w:val="00962910"/>
    <w:rsid w:val="0096496D"/>
    <w:rsid w:val="00964CFD"/>
    <w:rsid w:val="00964FA8"/>
    <w:rsid w:val="009650D4"/>
    <w:rsid w:val="00965488"/>
    <w:rsid w:val="00965795"/>
    <w:rsid w:val="00965AFF"/>
    <w:rsid w:val="00965C6D"/>
    <w:rsid w:val="00965FE2"/>
    <w:rsid w:val="00966771"/>
    <w:rsid w:val="009667ED"/>
    <w:rsid w:val="009703C8"/>
    <w:rsid w:val="009707FB"/>
    <w:rsid w:val="00973DB9"/>
    <w:rsid w:val="0097468E"/>
    <w:rsid w:val="00974960"/>
    <w:rsid w:val="00974972"/>
    <w:rsid w:val="00975455"/>
    <w:rsid w:val="00975D95"/>
    <w:rsid w:val="00976E9F"/>
    <w:rsid w:val="0097774E"/>
    <w:rsid w:val="00977DE6"/>
    <w:rsid w:val="00977E44"/>
    <w:rsid w:val="00980153"/>
    <w:rsid w:val="00980AC8"/>
    <w:rsid w:val="00980B65"/>
    <w:rsid w:val="0098115E"/>
    <w:rsid w:val="0098130B"/>
    <w:rsid w:val="0098171F"/>
    <w:rsid w:val="00983604"/>
    <w:rsid w:val="0098464C"/>
    <w:rsid w:val="0098513F"/>
    <w:rsid w:val="00985673"/>
    <w:rsid w:val="00987371"/>
    <w:rsid w:val="0098794B"/>
    <w:rsid w:val="00987C5E"/>
    <w:rsid w:val="0099002D"/>
    <w:rsid w:val="00990392"/>
    <w:rsid w:val="009916D1"/>
    <w:rsid w:val="00991B4D"/>
    <w:rsid w:val="00991B4F"/>
    <w:rsid w:val="00991C1E"/>
    <w:rsid w:val="009932C4"/>
    <w:rsid w:val="009944BA"/>
    <w:rsid w:val="00995A81"/>
    <w:rsid w:val="0099649D"/>
    <w:rsid w:val="00996F66"/>
    <w:rsid w:val="009976C4"/>
    <w:rsid w:val="00997DE1"/>
    <w:rsid w:val="009A0B57"/>
    <w:rsid w:val="009A26C9"/>
    <w:rsid w:val="009A4A63"/>
    <w:rsid w:val="009A4FAB"/>
    <w:rsid w:val="009A5A9F"/>
    <w:rsid w:val="009A62C6"/>
    <w:rsid w:val="009A63AB"/>
    <w:rsid w:val="009A65D6"/>
    <w:rsid w:val="009A694E"/>
    <w:rsid w:val="009A6A34"/>
    <w:rsid w:val="009A6DC0"/>
    <w:rsid w:val="009A7199"/>
    <w:rsid w:val="009A71EC"/>
    <w:rsid w:val="009B052B"/>
    <w:rsid w:val="009B1C08"/>
    <w:rsid w:val="009B2565"/>
    <w:rsid w:val="009B300B"/>
    <w:rsid w:val="009B3569"/>
    <w:rsid w:val="009B4823"/>
    <w:rsid w:val="009B489B"/>
    <w:rsid w:val="009B4D91"/>
    <w:rsid w:val="009B511E"/>
    <w:rsid w:val="009B513A"/>
    <w:rsid w:val="009B5684"/>
    <w:rsid w:val="009B597A"/>
    <w:rsid w:val="009B5A2C"/>
    <w:rsid w:val="009B5D6F"/>
    <w:rsid w:val="009B67F0"/>
    <w:rsid w:val="009B69CC"/>
    <w:rsid w:val="009B773F"/>
    <w:rsid w:val="009B7FBF"/>
    <w:rsid w:val="009C0A96"/>
    <w:rsid w:val="009C0AFE"/>
    <w:rsid w:val="009C18AF"/>
    <w:rsid w:val="009C19D5"/>
    <w:rsid w:val="009C29CF"/>
    <w:rsid w:val="009C45A2"/>
    <w:rsid w:val="009C48D9"/>
    <w:rsid w:val="009C4A16"/>
    <w:rsid w:val="009C4B0E"/>
    <w:rsid w:val="009C580E"/>
    <w:rsid w:val="009C5B66"/>
    <w:rsid w:val="009C5D6A"/>
    <w:rsid w:val="009C603D"/>
    <w:rsid w:val="009C63EA"/>
    <w:rsid w:val="009C6A78"/>
    <w:rsid w:val="009C7783"/>
    <w:rsid w:val="009C7B52"/>
    <w:rsid w:val="009C7E21"/>
    <w:rsid w:val="009D11F7"/>
    <w:rsid w:val="009D140B"/>
    <w:rsid w:val="009D2212"/>
    <w:rsid w:val="009D226B"/>
    <w:rsid w:val="009D275F"/>
    <w:rsid w:val="009D2B19"/>
    <w:rsid w:val="009D3987"/>
    <w:rsid w:val="009D4D77"/>
    <w:rsid w:val="009D4EEC"/>
    <w:rsid w:val="009D527A"/>
    <w:rsid w:val="009D52BC"/>
    <w:rsid w:val="009D5417"/>
    <w:rsid w:val="009D627A"/>
    <w:rsid w:val="009D6C75"/>
    <w:rsid w:val="009D6F51"/>
    <w:rsid w:val="009D75B0"/>
    <w:rsid w:val="009D7E5E"/>
    <w:rsid w:val="009E1764"/>
    <w:rsid w:val="009E1AF1"/>
    <w:rsid w:val="009E2F5B"/>
    <w:rsid w:val="009E3175"/>
    <w:rsid w:val="009E3348"/>
    <w:rsid w:val="009E3948"/>
    <w:rsid w:val="009E41C2"/>
    <w:rsid w:val="009E4608"/>
    <w:rsid w:val="009E4697"/>
    <w:rsid w:val="009E538D"/>
    <w:rsid w:val="009E5E0C"/>
    <w:rsid w:val="009E64A0"/>
    <w:rsid w:val="009E6BDE"/>
    <w:rsid w:val="009E7A38"/>
    <w:rsid w:val="009E7E61"/>
    <w:rsid w:val="009F10D1"/>
    <w:rsid w:val="009F1BE7"/>
    <w:rsid w:val="009F2181"/>
    <w:rsid w:val="009F2738"/>
    <w:rsid w:val="009F3DFA"/>
    <w:rsid w:val="009F3FCE"/>
    <w:rsid w:val="009F40D9"/>
    <w:rsid w:val="009F4FD0"/>
    <w:rsid w:val="009F5086"/>
    <w:rsid w:val="009F5128"/>
    <w:rsid w:val="009F576F"/>
    <w:rsid w:val="009F5C74"/>
    <w:rsid w:val="009F6E31"/>
    <w:rsid w:val="009F7AB0"/>
    <w:rsid w:val="009F7D72"/>
    <w:rsid w:val="00A00E07"/>
    <w:rsid w:val="00A01CF9"/>
    <w:rsid w:val="00A02257"/>
    <w:rsid w:val="00A02ECD"/>
    <w:rsid w:val="00A0331F"/>
    <w:rsid w:val="00A0335A"/>
    <w:rsid w:val="00A039E0"/>
    <w:rsid w:val="00A03AD6"/>
    <w:rsid w:val="00A03BA8"/>
    <w:rsid w:val="00A049BF"/>
    <w:rsid w:val="00A055BF"/>
    <w:rsid w:val="00A05D67"/>
    <w:rsid w:val="00A05E0D"/>
    <w:rsid w:val="00A076C9"/>
    <w:rsid w:val="00A10870"/>
    <w:rsid w:val="00A10F86"/>
    <w:rsid w:val="00A11E65"/>
    <w:rsid w:val="00A11F37"/>
    <w:rsid w:val="00A127F2"/>
    <w:rsid w:val="00A12B5D"/>
    <w:rsid w:val="00A12FB8"/>
    <w:rsid w:val="00A13DF2"/>
    <w:rsid w:val="00A142DF"/>
    <w:rsid w:val="00A147E0"/>
    <w:rsid w:val="00A14B25"/>
    <w:rsid w:val="00A150F5"/>
    <w:rsid w:val="00A15D6A"/>
    <w:rsid w:val="00A16016"/>
    <w:rsid w:val="00A219A9"/>
    <w:rsid w:val="00A21AC2"/>
    <w:rsid w:val="00A2385D"/>
    <w:rsid w:val="00A2418B"/>
    <w:rsid w:val="00A2499B"/>
    <w:rsid w:val="00A249F4"/>
    <w:rsid w:val="00A25115"/>
    <w:rsid w:val="00A2538D"/>
    <w:rsid w:val="00A254AC"/>
    <w:rsid w:val="00A259ED"/>
    <w:rsid w:val="00A25E3C"/>
    <w:rsid w:val="00A2639C"/>
    <w:rsid w:val="00A26494"/>
    <w:rsid w:val="00A32176"/>
    <w:rsid w:val="00A32448"/>
    <w:rsid w:val="00A33883"/>
    <w:rsid w:val="00A33D2D"/>
    <w:rsid w:val="00A34162"/>
    <w:rsid w:val="00A3439C"/>
    <w:rsid w:val="00A352C3"/>
    <w:rsid w:val="00A35824"/>
    <w:rsid w:val="00A35924"/>
    <w:rsid w:val="00A36455"/>
    <w:rsid w:val="00A37FE7"/>
    <w:rsid w:val="00A4091F"/>
    <w:rsid w:val="00A409D3"/>
    <w:rsid w:val="00A41110"/>
    <w:rsid w:val="00A41871"/>
    <w:rsid w:val="00A42F0A"/>
    <w:rsid w:val="00A43546"/>
    <w:rsid w:val="00A46156"/>
    <w:rsid w:val="00A465FE"/>
    <w:rsid w:val="00A46D35"/>
    <w:rsid w:val="00A47103"/>
    <w:rsid w:val="00A472EC"/>
    <w:rsid w:val="00A503AB"/>
    <w:rsid w:val="00A52752"/>
    <w:rsid w:val="00A52996"/>
    <w:rsid w:val="00A52DD8"/>
    <w:rsid w:val="00A54E8A"/>
    <w:rsid w:val="00A5660A"/>
    <w:rsid w:val="00A569D5"/>
    <w:rsid w:val="00A573E2"/>
    <w:rsid w:val="00A612F4"/>
    <w:rsid w:val="00A61876"/>
    <w:rsid w:val="00A61AAB"/>
    <w:rsid w:val="00A61E53"/>
    <w:rsid w:val="00A622D4"/>
    <w:rsid w:val="00A62633"/>
    <w:rsid w:val="00A632A7"/>
    <w:rsid w:val="00A63364"/>
    <w:rsid w:val="00A63B47"/>
    <w:rsid w:val="00A63E76"/>
    <w:rsid w:val="00A6475A"/>
    <w:rsid w:val="00A64845"/>
    <w:rsid w:val="00A65682"/>
    <w:rsid w:val="00A659F2"/>
    <w:rsid w:val="00A6656D"/>
    <w:rsid w:val="00A66800"/>
    <w:rsid w:val="00A66CE7"/>
    <w:rsid w:val="00A70133"/>
    <w:rsid w:val="00A70409"/>
    <w:rsid w:val="00A70563"/>
    <w:rsid w:val="00A70818"/>
    <w:rsid w:val="00A72C13"/>
    <w:rsid w:val="00A7384B"/>
    <w:rsid w:val="00A74B42"/>
    <w:rsid w:val="00A74CD0"/>
    <w:rsid w:val="00A74E97"/>
    <w:rsid w:val="00A7577D"/>
    <w:rsid w:val="00A75D87"/>
    <w:rsid w:val="00A7611D"/>
    <w:rsid w:val="00A7682B"/>
    <w:rsid w:val="00A77D02"/>
    <w:rsid w:val="00A77F76"/>
    <w:rsid w:val="00A8058C"/>
    <w:rsid w:val="00A80B8D"/>
    <w:rsid w:val="00A81071"/>
    <w:rsid w:val="00A81F54"/>
    <w:rsid w:val="00A8252B"/>
    <w:rsid w:val="00A833E2"/>
    <w:rsid w:val="00A841FB"/>
    <w:rsid w:val="00A870F6"/>
    <w:rsid w:val="00A90A36"/>
    <w:rsid w:val="00A91BF6"/>
    <w:rsid w:val="00A927F0"/>
    <w:rsid w:val="00A9340E"/>
    <w:rsid w:val="00A9413F"/>
    <w:rsid w:val="00A94B85"/>
    <w:rsid w:val="00A95201"/>
    <w:rsid w:val="00A95FE9"/>
    <w:rsid w:val="00A96157"/>
    <w:rsid w:val="00A97130"/>
    <w:rsid w:val="00AA0AA1"/>
    <w:rsid w:val="00AA2124"/>
    <w:rsid w:val="00AA2E57"/>
    <w:rsid w:val="00AA31D8"/>
    <w:rsid w:val="00AA3D25"/>
    <w:rsid w:val="00AA3D75"/>
    <w:rsid w:val="00AA3FC0"/>
    <w:rsid w:val="00AA454B"/>
    <w:rsid w:val="00AA4AD7"/>
    <w:rsid w:val="00AA5CD8"/>
    <w:rsid w:val="00AA6745"/>
    <w:rsid w:val="00AA69B7"/>
    <w:rsid w:val="00AA7316"/>
    <w:rsid w:val="00AB013A"/>
    <w:rsid w:val="00AB1160"/>
    <w:rsid w:val="00AB1352"/>
    <w:rsid w:val="00AB1760"/>
    <w:rsid w:val="00AB215C"/>
    <w:rsid w:val="00AB2729"/>
    <w:rsid w:val="00AB3089"/>
    <w:rsid w:val="00AB38A3"/>
    <w:rsid w:val="00AB4F82"/>
    <w:rsid w:val="00AB50A8"/>
    <w:rsid w:val="00AB5FC1"/>
    <w:rsid w:val="00AB62A4"/>
    <w:rsid w:val="00AB6ECD"/>
    <w:rsid w:val="00AB78B9"/>
    <w:rsid w:val="00AC09B3"/>
    <w:rsid w:val="00AC1B6E"/>
    <w:rsid w:val="00AC2228"/>
    <w:rsid w:val="00AC2BB6"/>
    <w:rsid w:val="00AC4A92"/>
    <w:rsid w:val="00AC54C1"/>
    <w:rsid w:val="00AC5D07"/>
    <w:rsid w:val="00AC5ED6"/>
    <w:rsid w:val="00AC61E4"/>
    <w:rsid w:val="00AC7C8F"/>
    <w:rsid w:val="00AC7F23"/>
    <w:rsid w:val="00AD008F"/>
    <w:rsid w:val="00AD17B5"/>
    <w:rsid w:val="00AD329A"/>
    <w:rsid w:val="00AD3756"/>
    <w:rsid w:val="00AD472E"/>
    <w:rsid w:val="00AD4DE6"/>
    <w:rsid w:val="00AD5B2F"/>
    <w:rsid w:val="00AD5E45"/>
    <w:rsid w:val="00AD6244"/>
    <w:rsid w:val="00AD652A"/>
    <w:rsid w:val="00AD6750"/>
    <w:rsid w:val="00AD7598"/>
    <w:rsid w:val="00AE08AB"/>
    <w:rsid w:val="00AE200B"/>
    <w:rsid w:val="00AE3BE5"/>
    <w:rsid w:val="00AE3E3C"/>
    <w:rsid w:val="00AE3F66"/>
    <w:rsid w:val="00AE4506"/>
    <w:rsid w:val="00AE454F"/>
    <w:rsid w:val="00AE459E"/>
    <w:rsid w:val="00AE4A3A"/>
    <w:rsid w:val="00AE4F9B"/>
    <w:rsid w:val="00AE58B1"/>
    <w:rsid w:val="00AE5C46"/>
    <w:rsid w:val="00AE6210"/>
    <w:rsid w:val="00AE6A03"/>
    <w:rsid w:val="00AF00B3"/>
    <w:rsid w:val="00AF23BF"/>
    <w:rsid w:val="00AF29DB"/>
    <w:rsid w:val="00AF38F5"/>
    <w:rsid w:val="00AF3AAC"/>
    <w:rsid w:val="00AF4AEC"/>
    <w:rsid w:val="00AF4B7B"/>
    <w:rsid w:val="00AF55F3"/>
    <w:rsid w:val="00AF6CC7"/>
    <w:rsid w:val="00AF7B94"/>
    <w:rsid w:val="00B01205"/>
    <w:rsid w:val="00B01F75"/>
    <w:rsid w:val="00B02184"/>
    <w:rsid w:val="00B02916"/>
    <w:rsid w:val="00B02D74"/>
    <w:rsid w:val="00B0326B"/>
    <w:rsid w:val="00B03371"/>
    <w:rsid w:val="00B04ECA"/>
    <w:rsid w:val="00B05448"/>
    <w:rsid w:val="00B05E32"/>
    <w:rsid w:val="00B0708B"/>
    <w:rsid w:val="00B0728E"/>
    <w:rsid w:val="00B07869"/>
    <w:rsid w:val="00B10649"/>
    <w:rsid w:val="00B10D39"/>
    <w:rsid w:val="00B11FCA"/>
    <w:rsid w:val="00B1258D"/>
    <w:rsid w:val="00B129A9"/>
    <w:rsid w:val="00B12A13"/>
    <w:rsid w:val="00B12E99"/>
    <w:rsid w:val="00B13D3C"/>
    <w:rsid w:val="00B1470C"/>
    <w:rsid w:val="00B147D1"/>
    <w:rsid w:val="00B148C0"/>
    <w:rsid w:val="00B148D2"/>
    <w:rsid w:val="00B14CAD"/>
    <w:rsid w:val="00B15DC4"/>
    <w:rsid w:val="00B165CC"/>
    <w:rsid w:val="00B17B27"/>
    <w:rsid w:val="00B17F06"/>
    <w:rsid w:val="00B2015B"/>
    <w:rsid w:val="00B20440"/>
    <w:rsid w:val="00B205A9"/>
    <w:rsid w:val="00B20E38"/>
    <w:rsid w:val="00B20FDD"/>
    <w:rsid w:val="00B22DD1"/>
    <w:rsid w:val="00B243ED"/>
    <w:rsid w:val="00B246C8"/>
    <w:rsid w:val="00B25D6D"/>
    <w:rsid w:val="00B2606C"/>
    <w:rsid w:val="00B2632D"/>
    <w:rsid w:val="00B277CA"/>
    <w:rsid w:val="00B27FA6"/>
    <w:rsid w:val="00B30215"/>
    <w:rsid w:val="00B30A10"/>
    <w:rsid w:val="00B30FD4"/>
    <w:rsid w:val="00B31221"/>
    <w:rsid w:val="00B32FEF"/>
    <w:rsid w:val="00B331E4"/>
    <w:rsid w:val="00B33511"/>
    <w:rsid w:val="00B33AB9"/>
    <w:rsid w:val="00B35777"/>
    <w:rsid w:val="00B371B3"/>
    <w:rsid w:val="00B374DC"/>
    <w:rsid w:val="00B376A9"/>
    <w:rsid w:val="00B37F81"/>
    <w:rsid w:val="00B41A0B"/>
    <w:rsid w:val="00B41AE5"/>
    <w:rsid w:val="00B41C19"/>
    <w:rsid w:val="00B41FA5"/>
    <w:rsid w:val="00B430B2"/>
    <w:rsid w:val="00B441DB"/>
    <w:rsid w:val="00B4467F"/>
    <w:rsid w:val="00B455E4"/>
    <w:rsid w:val="00B45AAB"/>
    <w:rsid w:val="00B473C7"/>
    <w:rsid w:val="00B507F8"/>
    <w:rsid w:val="00B524B9"/>
    <w:rsid w:val="00B53148"/>
    <w:rsid w:val="00B531CF"/>
    <w:rsid w:val="00B5409E"/>
    <w:rsid w:val="00B54ABF"/>
    <w:rsid w:val="00B5571F"/>
    <w:rsid w:val="00B5648A"/>
    <w:rsid w:val="00B56B02"/>
    <w:rsid w:val="00B604A6"/>
    <w:rsid w:val="00B60903"/>
    <w:rsid w:val="00B60BC4"/>
    <w:rsid w:val="00B6119E"/>
    <w:rsid w:val="00B6128A"/>
    <w:rsid w:val="00B61691"/>
    <w:rsid w:val="00B621F5"/>
    <w:rsid w:val="00B62A4D"/>
    <w:rsid w:val="00B62BE5"/>
    <w:rsid w:val="00B62D72"/>
    <w:rsid w:val="00B63731"/>
    <w:rsid w:val="00B63906"/>
    <w:rsid w:val="00B639D9"/>
    <w:rsid w:val="00B63CF0"/>
    <w:rsid w:val="00B64018"/>
    <w:rsid w:val="00B641FA"/>
    <w:rsid w:val="00B66431"/>
    <w:rsid w:val="00B66459"/>
    <w:rsid w:val="00B664D1"/>
    <w:rsid w:val="00B66CE2"/>
    <w:rsid w:val="00B67377"/>
    <w:rsid w:val="00B679D6"/>
    <w:rsid w:val="00B704DB"/>
    <w:rsid w:val="00B711B6"/>
    <w:rsid w:val="00B7185D"/>
    <w:rsid w:val="00B718BF"/>
    <w:rsid w:val="00B723AF"/>
    <w:rsid w:val="00B73BD6"/>
    <w:rsid w:val="00B741A3"/>
    <w:rsid w:val="00B7475E"/>
    <w:rsid w:val="00B74BA9"/>
    <w:rsid w:val="00B74BBE"/>
    <w:rsid w:val="00B75B22"/>
    <w:rsid w:val="00B75FE4"/>
    <w:rsid w:val="00B8024F"/>
    <w:rsid w:val="00B803C5"/>
    <w:rsid w:val="00B82998"/>
    <w:rsid w:val="00B82EBA"/>
    <w:rsid w:val="00B8389E"/>
    <w:rsid w:val="00B83C60"/>
    <w:rsid w:val="00B843A4"/>
    <w:rsid w:val="00B849F4"/>
    <w:rsid w:val="00B84AFA"/>
    <w:rsid w:val="00B852CA"/>
    <w:rsid w:val="00B85857"/>
    <w:rsid w:val="00B8585B"/>
    <w:rsid w:val="00B86086"/>
    <w:rsid w:val="00B86B17"/>
    <w:rsid w:val="00B86B64"/>
    <w:rsid w:val="00B8720B"/>
    <w:rsid w:val="00B8798F"/>
    <w:rsid w:val="00B87D1B"/>
    <w:rsid w:val="00B90501"/>
    <w:rsid w:val="00B91C62"/>
    <w:rsid w:val="00B91D9A"/>
    <w:rsid w:val="00B9249B"/>
    <w:rsid w:val="00B92638"/>
    <w:rsid w:val="00B9268E"/>
    <w:rsid w:val="00B9380A"/>
    <w:rsid w:val="00B93D0A"/>
    <w:rsid w:val="00B94485"/>
    <w:rsid w:val="00B9558C"/>
    <w:rsid w:val="00B95AD0"/>
    <w:rsid w:val="00B977FF"/>
    <w:rsid w:val="00BA02A3"/>
    <w:rsid w:val="00BA155D"/>
    <w:rsid w:val="00BA2682"/>
    <w:rsid w:val="00BA6304"/>
    <w:rsid w:val="00BA632B"/>
    <w:rsid w:val="00BA7F71"/>
    <w:rsid w:val="00BB0F13"/>
    <w:rsid w:val="00BB1805"/>
    <w:rsid w:val="00BB214F"/>
    <w:rsid w:val="00BB33F4"/>
    <w:rsid w:val="00BB38E1"/>
    <w:rsid w:val="00BB46F2"/>
    <w:rsid w:val="00BB5450"/>
    <w:rsid w:val="00BB56A2"/>
    <w:rsid w:val="00BB5CF3"/>
    <w:rsid w:val="00BB60AD"/>
    <w:rsid w:val="00BB6824"/>
    <w:rsid w:val="00BB6D85"/>
    <w:rsid w:val="00BB7ECF"/>
    <w:rsid w:val="00BC013C"/>
    <w:rsid w:val="00BC11A5"/>
    <w:rsid w:val="00BC18D1"/>
    <w:rsid w:val="00BC2B6B"/>
    <w:rsid w:val="00BC39BA"/>
    <w:rsid w:val="00BC3C3C"/>
    <w:rsid w:val="00BC3F2B"/>
    <w:rsid w:val="00BC4554"/>
    <w:rsid w:val="00BC5365"/>
    <w:rsid w:val="00BC5717"/>
    <w:rsid w:val="00BC5F99"/>
    <w:rsid w:val="00BC6A5D"/>
    <w:rsid w:val="00BC7DB7"/>
    <w:rsid w:val="00BC7F8E"/>
    <w:rsid w:val="00BD0B86"/>
    <w:rsid w:val="00BD0C63"/>
    <w:rsid w:val="00BD0CE3"/>
    <w:rsid w:val="00BD208C"/>
    <w:rsid w:val="00BD2169"/>
    <w:rsid w:val="00BD24B8"/>
    <w:rsid w:val="00BD2595"/>
    <w:rsid w:val="00BD32C9"/>
    <w:rsid w:val="00BD36AD"/>
    <w:rsid w:val="00BD4370"/>
    <w:rsid w:val="00BD4ABD"/>
    <w:rsid w:val="00BD5657"/>
    <w:rsid w:val="00BD652D"/>
    <w:rsid w:val="00BE07AB"/>
    <w:rsid w:val="00BE09E4"/>
    <w:rsid w:val="00BE1AFC"/>
    <w:rsid w:val="00BE1F60"/>
    <w:rsid w:val="00BE23CD"/>
    <w:rsid w:val="00BE27C7"/>
    <w:rsid w:val="00BE2A6A"/>
    <w:rsid w:val="00BE4927"/>
    <w:rsid w:val="00BE49D2"/>
    <w:rsid w:val="00BE54AB"/>
    <w:rsid w:val="00BE54BE"/>
    <w:rsid w:val="00BE5A40"/>
    <w:rsid w:val="00BE5AF2"/>
    <w:rsid w:val="00BE661E"/>
    <w:rsid w:val="00BE6E90"/>
    <w:rsid w:val="00BE7C2E"/>
    <w:rsid w:val="00BE7E31"/>
    <w:rsid w:val="00BF0989"/>
    <w:rsid w:val="00BF0C4B"/>
    <w:rsid w:val="00BF0DFD"/>
    <w:rsid w:val="00BF17CA"/>
    <w:rsid w:val="00BF3384"/>
    <w:rsid w:val="00BF37A2"/>
    <w:rsid w:val="00BF394E"/>
    <w:rsid w:val="00BF3E80"/>
    <w:rsid w:val="00BF40C1"/>
    <w:rsid w:val="00BF43C9"/>
    <w:rsid w:val="00BF5A96"/>
    <w:rsid w:val="00BF6055"/>
    <w:rsid w:val="00BF6601"/>
    <w:rsid w:val="00BF66E8"/>
    <w:rsid w:val="00BF6D70"/>
    <w:rsid w:val="00BF708E"/>
    <w:rsid w:val="00BF74C5"/>
    <w:rsid w:val="00C0012F"/>
    <w:rsid w:val="00C00D87"/>
    <w:rsid w:val="00C00E11"/>
    <w:rsid w:val="00C0179A"/>
    <w:rsid w:val="00C033F1"/>
    <w:rsid w:val="00C03B22"/>
    <w:rsid w:val="00C04299"/>
    <w:rsid w:val="00C0464B"/>
    <w:rsid w:val="00C054C6"/>
    <w:rsid w:val="00C06A4B"/>
    <w:rsid w:val="00C07949"/>
    <w:rsid w:val="00C079F2"/>
    <w:rsid w:val="00C10291"/>
    <w:rsid w:val="00C102D8"/>
    <w:rsid w:val="00C10AD3"/>
    <w:rsid w:val="00C10C4B"/>
    <w:rsid w:val="00C10FB2"/>
    <w:rsid w:val="00C12A0F"/>
    <w:rsid w:val="00C1486B"/>
    <w:rsid w:val="00C148E0"/>
    <w:rsid w:val="00C156F1"/>
    <w:rsid w:val="00C165EA"/>
    <w:rsid w:val="00C172F1"/>
    <w:rsid w:val="00C1747E"/>
    <w:rsid w:val="00C17698"/>
    <w:rsid w:val="00C178AB"/>
    <w:rsid w:val="00C20D40"/>
    <w:rsid w:val="00C21BF8"/>
    <w:rsid w:val="00C23C60"/>
    <w:rsid w:val="00C23D85"/>
    <w:rsid w:val="00C24665"/>
    <w:rsid w:val="00C2597B"/>
    <w:rsid w:val="00C259AB"/>
    <w:rsid w:val="00C275BE"/>
    <w:rsid w:val="00C30779"/>
    <w:rsid w:val="00C313A0"/>
    <w:rsid w:val="00C321B4"/>
    <w:rsid w:val="00C321C9"/>
    <w:rsid w:val="00C33952"/>
    <w:rsid w:val="00C3407F"/>
    <w:rsid w:val="00C349D2"/>
    <w:rsid w:val="00C34BA8"/>
    <w:rsid w:val="00C35D93"/>
    <w:rsid w:val="00C37EC0"/>
    <w:rsid w:val="00C40544"/>
    <w:rsid w:val="00C410AF"/>
    <w:rsid w:val="00C4168D"/>
    <w:rsid w:val="00C41B23"/>
    <w:rsid w:val="00C41CAE"/>
    <w:rsid w:val="00C41DF8"/>
    <w:rsid w:val="00C424EB"/>
    <w:rsid w:val="00C43BB1"/>
    <w:rsid w:val="00C440F3"/>
    <w:rsid w:val="00C44B2F"/>
    <w:rsid w:val="00C45428"/>
    <w:rsid w:val="00C456E5"/>
    <w:rsid w:val="00C45C04"/>
    <w:rsid w:val="00C45FF6"/>
    <w:rsid w:val="00C4601E"/>
    <w:rsid w:val="00C4642D"/>
    <w:rsid w:val="00C46B4C"/>
    <w:rsid w:val="00C510A4"/>
    <w:rsid w:val="00C511B6"/>
    <w:rsid w:val="00C5189F"/>
    <w:rsid w:val="00C52853"/>
    <w:rsid w:val="00C5340D"/>
    <w:rsid w:val="00C55648"/>
    <w:rsid w:val="00C558F6"/>
    <w:rsid w:val="00C55D76"/>
    <w:rsid w:val="00C56186"/>
    <w:rsid w:val="00C56E95"/>
    <w:rsid w:val="00C57018"/>
    <w:rsid w:val="00C60083"/>
    <w:rsid w:val="00C61A02"/>
    <w:rsid w:val="00C61A27"/>
    <w:rsid w:val="00C61D04"/>
    <w:rsid w:val="00C6259C"/>
    <w:rsid w:val="00C62DDD"/>
    <w:rsid w:val="00C63C84"/>
    <w:rsid w:val="00C644B7"/>
    <w:rsid w:val="00C655A5"/>
    <w:rsid w:val="00C657B6"/>
    <w:rsid w:val="00C65AC0"/>
    <w:rsid w:val="00C65FB8"/>
    <w:rsid w:val="00C66B51"/>
    <w:rsid w:val="00C66FD0"/>
    <w:rsid w:val="00C671B1"/>
    <w:rsid w:val="00C6786B"/>
    <w:rsid w:val="00C678E0"/>
    <w:rsid w:val="00C67EE4"/>
    <w:rsid w:val="00C7140C"/>
    <w:rsid w:val="00C71973"/>
    <w:rsid w:val="00C72115"/>
    <w:rsid w:val="00C72160"/>
    <w:rsid w:val="00C72749"/>
    <w:rsid w:val="00C72798"/>
    <w:rsid w:val="00C73370"/>
    <w:rsid w:val="00C746B0"/>
    <w:rsid w:val="00C747EC"/>
    <w:rsid w:val="00C747FA"/>
    <w:rsid w:val="00C76517"/>
    <w:rsid w:val="00C77C75"/>
    <w:rsid w:val="00C8093E"/>
    <w:rsid w:val="00C8113F"/>
    <w:rsid w:val="00C813AC"/>
    <w:rsid w:val="00C8183B"/>
    <w:rsid w:val="00C81C95"/>
    <w:rsid w:val="00C824FF"/>
    <w:rsid w:val="00C82CDF"/>
    <w:rsid w:val="00C83456"/>
    <w:rsid w:val="00C8353B"/>
    <w:rsid w:val="00C84356"/>
    <w:rsid w:val="00C843A6"/>
    <w:rsid w:val="00C847A2"/>
    <w:rsid w:val="00C84DD5"/>
    <w:rsid w:val="00C8554D"/>
    <w:rsid w:val="00C85E0C"/>
    <w:rsid w:val="00C86FB8"/>
    <w:rsid w:val="00C878D6"/>
    <w:rsid w:val="00C9056D"/>
    <w:rsid w:val="00C906AA"/>
    <w:rsid w:val="00C907D7"/>
    <w:rsid w:val="00C91FEC"/>
    <w:rsid w:val="00C92066"/>
    <w:rsid w:val="00C93111"/>
    <w:rsid w:val="00C9369B"/>
    <w:rsid w:val="00C93F54"/>
    <w:rsid w:val="00C947E6"/>
    <w:rsid w:val="00C94B1C"/>
    <w:rsid w:val="00C95BCE"/>
    <w:rsid w:val="00C95F5B"/>
    <w:rsid w:val="00C9657E"/>
    <w:rsid w:val="00C966CD"/>
    <w:rsid w:val="00C96D95"/>
    <w:rsid w:val="00C97E4C"/>
    <w:rsid w:val="00CA00CE"/>
    <w:rsid w:val="00CA0704"/>
    <w:rsid w:val="00CA10C7"/>
    <w:rsid w:val="00CA12F5"/>
    <w:rsid w:val="00CA1DA7"/>
    <w:rsid w:val="00CA390E"/>
    <w:rsid w:val="00CA3C76"/>
    <w:rsid w:val="00CA5466"/>
    <w:rsid w:val="00CA5C6C"/>
    <w:rsid w:val="00CA674C"/>
    <w:rsid w:val="00CA6D49"/>
    <w:rsid w:val="00CB024D"/>
    <w:rsid w:val="00CB03B0"/>
    <w:rsid w:val="00CB0A77"/>
    <w:rsid w:val="00CB1728"/>
    <w:rsid w:val="00CB19B6"/>
    <w:rsid w:val="00CB26A7"/>
    <w:rsid w:val="00CB3B31"/>
    <w:rsid w:val="00CB484E"/>
    <w:rsid w:val="00CB4CE5"/>
    <w:rsid w:val="00CB5AA4"/>
    <w:rsid w:val="00CB6767"/>
    <w:rsid w:val="00CB6971"/>
    <w:rsid w:val="00CB753B"/>
    <w:rsid w:val="00CB789E"/>
    <w:rsid w:val="00CB7BF4"/>
    <w:rsid w:val="00CC0402"/>
    <w:rsid w:val="00CC080A"/>
    <w:rsid w:val="00CC2BC8"/>
    <w:rsid w:val="00CC2C87"/>
    <w:rsid w:val="00CC3983"/>
    <w:rsid w:val="00CC42AD"/>
    <w:rsid w:val="00CC42D1"/>
    <w:rsid w:val="00CC4AA9"/>
    <w:rsid w:val="00CC74E2"/>
    <w:rsid w:val="00CC787D"/>
    <w:rsid w:val="00CC7B3D"/>
    <w:rsid w:val="00CC7C0C"/>
    <w:rsid w:val="00CD05E1"/>
    <w:rsid w:val="00CD08C9"/>
    <w:rsid w:val="00CD22A2"/>
    <w:rsid w:val="00CD3490"/>
    <w:rsid w:val="00CD4229"/>
    <w:rsid w:val="00CD6C68"/>
    <w:rsid w:val="00CE0048"/>
    <w:rsid w:val="00CE037E"/>
    <w:rsid w:val="00CE08F0"/>
    <w:rsid w:val="00CE0C2E"/>
    <w:rsid w:val="00CE1C28"/>
    <w:rsid w:val="00CE1DAB"/>
    <w:rsid w:val="00CE2052"/>
    <w:rsid w:val="00CE3B4F"/>
    <w:rsid w:val="00CE3E67"/>
    <w:rsid w:val="00CE4082"/>
    <w:rsid w:val="00CE4B34"/>
    <w:rsid w:val="00CE4FE4"/>
    <w:rsid w:val="00CE51C9"/>
    <w:rsid w:val="00CE5302"/>
    <w:rsid w:val="00CE5C57"/>
    <w:rsid w:val="00CE6061"/>
    <w:rsid w:val="00CE6E75"/>
    <w:rsid w:val="00CE6FE0"/>
    <w:rsid w:val="00CE74E1"/>
    <w:rsid w:val="00CF0153"/>
    <w:rsid w:val="00CF0CE4"/>
    <w:rsid w:val="00CF2644"/>
    <w:rsid w:val="00CF3439"/>
    <w:rsid w:val="00CF3540"/>
    <w:rsid w:val="00CF3E77"/>
    <w:rsid w:val="00CF4BC2"/>
    <w:rsid w:val="00CF4C8A"/>
    <w:rsid w:val="00CF505B"/>
    <w:rsid w:val="00CF58A5"/>
    <w:rsid w:val="00CF5D51"/>
    <w:rsid w:val="00CF5DF5"/>
    <w:rsid w:val="00CF651E"/>
    <w:rsid w:val="00CF66B9"/>
    <w:rsid w:val="00CF6BE0"/>
    <w:rsid w:val="00CF7434"/>
    <w:rsid w:val="00CF7518"/>
    <w:rsid w:val="00D00325"/>
    <w:rsid w:val="00D004DC"/>
    <w:rsid w:val="00D028BC"/>
    <w:rsid w:val="00D02CE5"/>
    <w:rsid w:val="00D04239"/>
    <w:rsid w:val="00D04AA4"/>
    <w:rsid w:val="00D05729"/>
    <w:rsid w:val="00D0640F"/>
    <w:rsid w:val="00D068BC"/>
    <w:rsid w:val="00D07407"/>
    <w:rsid w:val="00D07469"/>
    <w:rsid w:val="00D07CAD"/>
    <w:rsid w:val="00D10732"/>
    <w:rsid w:val="00D109DE"/>
    <w:rsid w:val="00D10D97"/>
    <w:rsid w:val="00D10FD4"/>
    <w:rsid w:val="00D126B2"/>
    <w:rsid w:val="00D12ACC"/>
    <w:rsid w:val="00D13025"/>
    <w:rsid w:val="00D15283"/>
    <w:rsid w:val="00D157C1"/>
    <w:rsid w:val="00D161CC"/>
    <w:rsid w:val="00D16F84"/>
    <w:rsid w:val="00D17A97"/>
    <w:rsid w:val="00D2073C"/>
    <w:rsid w:val="00D2077A"/>
    <w:rsid w:val="00D21099"/>
    <w:rsid w:val="00D2199E"/>
    <w:rsid w:val="00D22AE5"/>
    <w:rsid w:val="00D230A9"/>
    <w:rsid w:val="00D232A2"/>
    <w:rsid w:val="00D23355"/>
    <w:rsid w:val="00D23634"/>
    <w:rsid w:val="00D23A6D"/>
    <w:rsid w:val="00D23D66"/>
    <w:rsid w:val="00D243B1"/>
    <w:rsid w:val="00D24680"/>
    <w:rsid w:val="00D24CC5"/>
    <w:rsid w:val="00D25AE1"/>
    <w:rsid w:val="00D26087"/>
    <w:rsid w:val="00D26202"/>
    <w:rsid w:val="00D26672"/>
    <w:rsid w:val="00D276E0"/>
    <w:rsid w:val="00D304EB"/>
    <w:rsid w:val="00D308CF"/>
    <w:rsid w:val="00D31591"/>
    <w:rsid w:val="00D31AA6"/>
    <w:rsid w:val="00D32347"/>
    <w:rsid w:val="00D33DE1"/>
    <w:rsid w:val="00D345DC"/>
    <w:rsid w:val="00D347DC"/>
    <w:rsid w:val="00D364DA"/>
    <w:rsid w:val="00D36793"/>
    <w:rsid w:val="00D37D18"/>
    <w:rsid w:val="00D40A34"/>
    <w:rsid w:val="00D40F69"/>
    <w:rsid w:val="00D42579"/>
    <w:rsid w:val="00D425AC"/>
    <w:rsid w:val="00D4317D"/>
    <w:rsid w:val="00D431D0"/>
    <w:rsid w:val="00D43459"/>
    <w:rsid w:val="00D43769"/>
    <w:rsid w:val="00D43D03"/>
    <w:rsid w:val="00D43DD9"/>
    <w:rsid w:val="00D446E1"/>
    <w:rsid w:val="00D44E34"/>
    <w:rsid w:val="00D461AD"/>
    <w:rsid w:val="00D4721D"/>
    <w:rsid w:val="00D505B0"/>
    <w:rsid w:val="00D50C92"/>
    <w:rsid w:val="00D50FC3"/>
    <w:rsid w:val="00D5166D"/>
    <w:rsid w:val="00D51B3D"/>
    <w:rsid w:val="00D51CA3"/>
    <w:rsid w:val="00D51F4A"/>
    <w:rsid w:val="00D52E59"/>
    <w:rsid w:val="00D530B8"/>
    <w:rsid w:val="00D53263"/>
    <w:rsid w:val="00D53419"/>
    <w:rsid w:val="00D53FDD"/>
    <w:rsid w:val="00D54740"/>
    <w:rsid w:val="00D55E40"/>
    <w:rsid w:val="00D56224"/>
    <w:rsid w:val="00D56A9A"/>
    <w:rsid w:val="00D56B08"/>
    <w:rsid w:val="00D56B22"/>
    <w:rsid w:val="00D604B7"/>
    <w:rsid w:val="00D61248"/>
    <w:rsid w:val="00D614C1"/>
    <w:rsid w:val="00D61687"/>
    <w:rsid w:val="00D6191B"/>
    <w:rsid w:val="00D61CF5"/>
    <w:rsid w:val="00D63460"/>
    <w:rsid w:val="00D64D59"/>
    <w:rsid w:val="00D6509E"/>
    <w:rsid w:val="00D66D87"/>
    <w:rsid w:val="00D66DD0"/>
    <w:rsid w:val="00D66EE5"/>
    <w:rsid w:val="00D67314"/>
    <w:rsid w:val="00D702A6"/>
    <w:rsid w:val="00D709D1"/>
    <w:rsid w:val="00D714F6"/>
    <w:rsid w:val="00D73254"/>
    <w:rsid w:val="00D7390D"/>
    <w:rsid w:val="00D74538"/>
    <w:rsid w:val="00D748EE"/>
    <w:rsid w:val="00D76135"/>
    <w:rsid w:val="00D778DB"/>
    <w:rsid w:val="00D77F42"/>
    <w:rsid w:val="00D80234"/>
    <w:rsid w:val="00D808E1"/>
    <w:rsid w:val="00D80F7E"/>
    <w:rsid w:val="00D81188"/>
    <w:rsid w:val="00D849F6"/>
    <w:rsid w:val="00D84BD9"/>
    <w:rsid w:val="00D8504C"/>
    <w:rsid w:val="00D85182"/>
    <w:rsid w:val="00D85913"/>
    <w:rsid w:val="00D86215"/>
    <w:rsid w:val="00D86D6B"/>
    <w:rsid w:val="00D90177"/>
    <w:rsid w:val="00D90735"/>
    <w:rsid w:val="00D90A46"/>
    <w:rsid w:val="00D910E2"/>
    <w:rsid w:val="00D91C72"/>
    <w:rsid w:val="00D923EE"/>
    <w:rsid w:val="00D9261E"/>
    <w:rsid w:val="00D93AA1"/>
    <w:rsid w:val="00D93C06"/>
    <w:rsid w:val="00D948F9"/>
    <w:rsid w:val="00D94DCA"/>
    <w:rsid w:val="00D954E9"/>
    <w:rsid w:val="00D95AC0"/>
    <w:rsid w:val="00D962E4"/>
    <w:rsid w:val="00D965EA"/>
    <w:rsid w:val="00D96C0F"/>
    <w:rsid w:val="00D96F15"/>
    <w:rsid w:val="00DA0BF2"/>
    <w:rsid w:val="00DA128F"/>
    <w:rsid w:val="00DA1DF7"/>
    <w:rsid w:val="00DA1E3D"/>
    <w:rsid w:val="00DA2716"/>
    <w:rsid w:val="00DA2B14"/>
    <w:rsid w:val="00DA3AEF"/>
    <w:rsid w:val="00DA5971"/>
    <w:rsid w:val="00DA5A93"/>
    <w:rsid w:val="00DA5B9C"/>
    <w:rsid w:val="00DA5F96"/>
    <w:rsid w:val="00DA6198"/>
    <w:rsid w:val="00DA6ACF"/>
    <w:rsid w:val="00DA7037"/>
    <w:rsid w:val="00DA779A"/>
    <w:rsid w:val="00DA7BCC"/>
    <w:rsid w:val="00DB0012"/>
    <w:rsid w:val="00DB04D1"/>
    <w:rsid w:val="00DB0DED"/>
    <w:rsid w:val="00DB184A"/>
    <w:rsid w:val="00DB1D8B"/>
    <w:rsid w:val="00DB20C6"/>
    <w:rsid w:val="00DB2301"/>
    <w:rsid w:val="00DB287B"/>
    <w:rsid w:val="00DB2E8F"/>
    <w:rsid w:val="00DB43FD"/>
    <w:rsid w:val="00DB491B"/>
    <w:rsid w:val="00DB4933"/>
    <w:rsid w:val="00DB4AB8"/>
    <w:rsid w:val="00DB55F8"/>
    <w:rsid w:val="00DC0612"/>
    <w:rsid w:val="00DC1460"/>
    <w:rsid w:val="00DC2191"/>
    <w:rsid w:val="00DC2C3F"/>
    <w:rsid w:val="00DC2D2B"/>
    <w:rsid w:val="00DC344C"/>
    <w:rsid w:val="00DC3791"/>
    <w:rsid w:val="00DC3BE0"/>
    <w:rsid w:val="00DC3F79"/>
    <w:rsid w:val="00DC48C7"/>
    <w:rsid w:val="00DC5003"/>
    <w:rsid w:val="00DC5D26"/>
    <w:rsid w:val="00DC6040"/>
    <w:rsid w:val="00DC69D3"/>
    <w:rsid w:val="00DC7C4D"/>
    <w:rsid w:val="00DD1664"/>
    <w:rsid w:val="00DD1778"/>
    <w:rsid w:val="00DD1BE8"/>
    <w:rsid w:val="00DD1FBA"/>
    <w:rsid w:val="00DD1FC7"/>
    <w:rsid w:val="00DD2067"/>
    <w:rsid w:val="00DD34E6"/>
    <w:rsid w:val="00DD3FEB"/>
    <w:rsid w:val="00DD462B"/>
    <w:rsid w:val="00DD47BA"/>
    <w:rsid w:val="00DD4A4D"/>
    <w:rsid w:val="00DD5967"/>
    <w:rsid w:val="00DD6345"/>
    <w:rsid w:val="00DD639C"/>
    <w:rsid w:val="00DD6CB6"/>
    <w:rsid w:val="00DD6D30"/>
    <w:rsid w:val="00DE324A"/>
    <w:rsid w:val="00DE4585"/>
    <w:rsid w:val="00DE4FC7"/>
    <w:rsid w:val="00DE6ADD"/>
    <w:rsid w:val="00DE6BD9"/>
    <w:rsid w:val="00DF00BA"/>
    <w:rsid w:val="00DF0CA7"/>
    <w:rsid w:val="00DF19A7"/>
    <w:rsid w:val="00DF29BA"/>
    <w:rsid w:val="00DF2CAE"/>
    <w:rsid w:val="00DF2EB0"/>
    <w:rsid w:val="00DF3304"/>
    <w:rsid w:val="00DF3325"/>
    <w:rsid w:val="00DF42BC"/>
    <w:rsid w:val="00DF4D71"/>
    <w:rsid w:val="00DF5016"/>
    <w:rsid w:val="00DF526C"/>
    <w:rsid w:val="00DF7B5D"/>
    <w:rsid w:val="00E016F5"/>
    <w:rsid w:val="00E01DCA"/>
    <w:rsid w:val="00E021A7"/>
    <w:rsid w:val="00E0228B"/>
    <w:rsid w:val="00E036B8"/>
    <w:rsid w:val="00E04312"/>
    <w:rsid w:val="00E0487E"/>
    <w:rsid w:val="00E04C26"/>
    <w:rsid w:val="00E04EB1"/>
    <w:rsid w:val="00E0519D"/>
    <w:rsid w:val="00E051F8"/>
    <w:rsid w:val="00E05658"/>
    <w:rsid w:val="00E057D9"/>
    <w:rsid w:val="00E058A7"/>
    <w:rsid w:val="00E05D35"/>
    <w:rsid w:val="00E06DB7"/>
    <w:rsid w:val="00E11101"/>
    <w:rsid w:val="00E111A9"/>
    <w:rsid w:val="00E12343"/>
    <w:rsid w:val="00E136E5"/>
    <w:rsid w:val="00E13EA4"/>
    <w:rsid w:val="00E13FF0"/>
    <w:rsid w:val="00E14336"/>
    <w:rsid w:val="00E150D8"/>
    <w:rsid w:val="00E15639"/>
    <w:rsid w:val="00E159E7"/>
    <w:rsid w:val="00E1699E"/>
    <w:rsid w:val="00E16A57"/>
    <w:rsid w:val="00E20078"/>
    <w:rsid w:val="00E20540"/>
    <w:rsid w:val="00E209D5"/>
    <w:rsid w:val="00E21C23"/>
    <w:rsid w:val="00E21D3D"/>
    <w:rsid w:val="00E23624"/>
    <w:rsid w:val="00E24E43"/>
    <w:rsid w:val="00E252A5"/>
    <w:rsid w:val="00E255A7"/>
    <w:rsid w:val="00E25AA7"/>
    <w:rsid w:val="00E268CD"/>
    <w:rsid w:val="00E301DF"/>
    <w:rsid w:val="00E30CF5"/>
    <w:rsid w:val="00E30DAD"/>
    <w:rsid w:val="00E34812"/>
    <w:rsid w:val="00E34CA2"/>
    <w:rsid w:val="00E358EC"/>
    <w:rsid w:val="00E35B15"/>
    <w:rsid w:val="00E3721C"/>
    <w:rsid w:val="00E3774C"/>
    <w:rsid w:val="00E37F67"/>
    <w:rsid w:val="00E4023D"/>
    <w:rsid w:val="00E40A74"/>
    <w:rsid w:val="00E4100E"/>
    <w:rsid w:val="00E41494"/>
    <w:rsid w:val="00E41EF2"/>
    <w:rsid w:val="00E439DF"/>
    <w:rsid w:val="00E43BAE"/>
    <w:rsid w:val="00E4487D"/>
    <w:rsid w:val="00E4490F"/>
    <w:rsid w:val="00E451AD"/>
    <w:rsid w:val="00E455AA"/>
    <w:rsid w:val="00E455E9"/>
    <w:rsid w:val="00E4744F"/>
    <w:rsid w:val="00E47F3B"/>
    <w:rsid w:val="00E502D5"/>
    <w:rsid w:val="00E50EFC"/>
    <w:rsid w:val="00E53BD6"/>
    <w:rsid w:val="00E5418E"/>
    <w:rsid w:val="00E54247"/>
    <w:rsid w:val="00E5431B"/>
    <w:rsid w:val="00E55F62"/>
    <w:rsid w:val="00E56F12"/>
    <w:rsid w:val="00E578CE"/>
    <w:rsid w:val="00E57AFB"/>
    <w:rsid w:val="00E57BBA"/>
    <w:rsid w:val="00E604E3"/>
    <w:rsid w:val="00E608EF"/>
    <w:rsid w:val="00E60CF6"/>
    <w:rsid w:val="00E614C5"/>
    <w:rsid w:val="00E618E8"/>
    <w:rsid w:val="00E62353"/>
    <w:rsid w:val="00E6257D"/>
    <w:rsid w:val="00E63C7C"/>
    <w:rsid w:val="00E63F1A"/>
    <w:rsid w:val="00E63F59"/>
    <w:rsid w:val="00E64233"/>
    <w:rsid w:val="00E648FD"/>
    <w:rsid w:val="00E64D6E"/>
    <w:rsid w:val="00E65DB3"/>
    <w:rsid w:val="00E66AFD"/>
    <w:rsid w:val="00E66E68"/>
    <w:rsid w:val="00E67B91"/>
    <w:rsid w:val="00E67CA9"/>
    <w:rsid w:val="00E715A8"/>
    <w:rsid w:val="00E71BC4"/>
    <w:rsid w:val="00E71BD6"/>
    <w:rsid w:val="00E7381E"/>
    <w:rsid w:val="00E73873"/>
    <w:rsid w:val="00E74625"/>
    <w:rsid w:val="00E74A1D"/>
    <w:rsid w:val="00E754C3"/>
    <w:rsid w:val="00E7625E"/>
    <w:rsid w:val="00E764C6"/>
    <w:rsid w:val="00E773B3"/>
    <w:rsid w:val="00E80478"/>
    <w:rsid w:val="00E820C8"/>
    <w:rsid w:val="00E82A32"/>
    <w:rsid w:val="00E82F86"/>
    <w:rsid w:val="00E843BE"/>
    <w:rsid w:val="00E84B87"/>
    <w:rsid w:val="00E85211"/>
    <w:rsid w:val="00E85BCF"/>
    <w:rsid w:val="00E8712D"/>
    <w:rsid w:val="00E87B34"/>
    <w:rsid w:val="00E902F2"/>
    <w:rsid w:val="00E91150"/>
    <w:rsid w:val="00E91F4C"/>
    <w:rsid w:val="00E93050"/>
    <w:rsid w:val="00E9355B"/>
    <w:rsid w:val="00E9369A"/>
    <w:rsid w:val="00E936E8"/>
    <w:rsid w:val="00E93DBD"/>
    <w:rsid w:val="00E9432A"/>
    <w:rsid w:val="00E950A3"/>
    <w:rsid w:val="00E95C3F"/>
    <w:rsid w:val="00E9608C"/>
    <w:rsid w:val="00E97EC0"/>
    <w:rsid w:val="00E97FA6"/>
    <w:rsid w:val="00EA04BD"/>
    <w:rsid w:val="00EA083A"/>
    <w:rsid w:val="00EA0FED"/>
    <w:rsid w:val="00EA14F4"/>
    <w:rsid w:val="00EA1610"/>
    <w:rsid w:val="00EA176B"/>
    <w:rsid w:val="00EA1E5A"/>
    <w:rsid w:val="00EA217D"/>
    <w:rsid w:val="00EA2210"/>
    <w:rsid w:val="00EA2E5D"/>
    <w:rsid w:val="00EA3ADC"/>
    <w:rsid w:val="00EA4B9D"/>
    <w:rsid w:val="00EA501C"/>
    <w:rsid w:val="00EA5470"/>
    <w:rsid w:val="00EA57FC"/>
    <w:rsid w:val="00EA5BC6"/>
    <w:rsid w:val="00EA5E86"/>
    <w:rsid w:val="00EA719E"/>
    <w:rsid w:val="00EB036B"/>
    <w:rsid w:val="00EB0649"/>
    <w:rsid w:val="00EB08D8"/>
    <w:rsid w:val="00EB0D1C"/>
    <w:rsid w:val="00EB0E7C"/>
    <w:rsid w:val="00EB1F71"/>
    <w:rsid w:val="00EB393B"/>
    <w:rsid w:val="00EB5046"/>
    <w:rsid w:val="00EB576C"/>
    <w:rsid w:val="00EB57D5"/>
    <w:rsid w:val="00EB6A70"/>
    <w:rsid w:val="00EC015C"/>
    <w:rsid w:val="00EC0515"/>
    <w:rsid w:val="00EC0D1B"/>
    <w:rsid w:val="00EC1A9B"/>
    <w:rsid w:val="00EC1D97"/>
    <w:rsid w:val="00EC2801"/>
    <w:rsid w:val="00EC36CE"/>
    <w:rsid w:val="00EC5329"/>
    <w:rsid w:val="00EC569E"/>
    <w:rsid w:val="00EC6FE7"/>
    <w:rsid w:val="00EC73FF"/>
    <w:rsid w:val="00EC7434"/>
    <w:rsid w:val="00EC7538"/>
    <w:rsid w:val="00EC79C1"/>
    <w:rsid w:val="00ED032A"/>
    <w:rsid w:val="00ED0A0B"/>
    <w:rsid w:val="00ED1FB1"/>
    <w:rsid w:val="00ED20B7"/>
    <w:rsid w:val="00ED25FC"/>
    <w:rsid w:val="00ED2936"/>
    <w:rsid w:val="00ED4209"/>
    <w:rsid w:val="00ED431F"/>
    <w:rsid w:val="00ED4D13"/>
    <w:rsid w:val="00ED4FA3"/>
    <w:rsid w:val="00ED56D2"/>
    <w:rsid w:val="00ED61FD"/>
    <w:rsid w:val="00ED6D83"/>
    <w:rsid w:val="00ED77D5"/>
    <w:rsid w:val="00ED7B11"/>
    <w:rsid w:val="00EE05B2"/>
    <w:rsid w:val="00EE12F9"/>
    <w:rsid w:val="00EE131F"/>
    <w:rsid w:val="00EE1903"/>
    <w:rsid w:val="00EE19B8"/>
    <w:rsid w:val="00EE1A69"/>
    <w:rsid w:val="00EE29F3"/>
    <w:rsid w:val="00EE4A55"/>
    <w:rsid w:val="00EE51DD"/>
    <w:rsid w:val="00EE5950"/>
    <w:rsid w:val="00EE5B9E"/>
    <w:rsid w:val="00EE5D9B"/>
    <w:rsid w:val="00EE675A"/>
    <w:rsid w:val="00EE677E"/>
    <w:rsid w:val="00EE6EDE"/>
    <w:rsid w:val="00EE7369"/>
    <w:rsid w:val="00EE75BE"/>
    <w:rsid w:val="00EE7C48"/>
    <w:rsid w:val="00EF0818"/>
    <w:rsid w:val="00EF1792"/>
    <w:rsid w:val="00EF2357"/>
    <w:rsid w:val="00EF2B40"/>
    <w:rsid w:val="00EF2F64"/>
    <w:rsid w:val="00EF32F0"/>
    <w:rsid w:val="00EF3339"/>
    <w:rsid w:val="00EF426A"/>
    <w:rsid w:val="00EF4F24"/>
    <w:rsid w:val="00EF502B"/>
    <w:rsid w:val="00EF539C"/>
    <w:rsid w:val="00EF55C0"/>
    <w:rsid w:val="00EF65EB"/>
    <w:rsid w:val="00EF6848"/>
    <w:rsid w:val="00EF79CA"/>
    <w:rsid w:val="00EF7A29"/>
    <w:rsid w:val="00F002A0"/>
    <w:rsid w:val="00F004CE"/>
    <w:rsid w:val="00F005CB"/>
    <w:rsid w:val="00F00E8F"/>
    <w:rsid w:val="00F01D7A"/>
    <w:rsid w:val="00F02301"/>
    <w:rsid w:val="00F0383E"/>
    <w:rsid w:val="00F0401C"/>
    <w:rsid w:val="00F057B4"/>
    <w:rsid w:val="00F0676A"/>
    <w:rsid w:val="00F06CA8"/>
    <w:rsid w:val="00F07E1B"/>
    <w:rsid w:val="00F10252"/>
    <w:rsid w:val="00F10D86"/>
    <w:rsid w:val="00F10F01"/>
    <w:rsid w:val="00F11535"/>
    <w:rsid w:val="00F123BB"/>
    <w:rsid w:val="00F136D1"/>
    <w:rsid w:val="00F13D45"/>
    <w:rsid w:val="00F14059"/>
    <w:rsid w:val="00F144B7"/>
    <w:rsid w:val="00F15044"/>
    <w:rsid w:val="00F1546B"/>
    <w:rsid w:val="00F15C96"/>
    <w:rsid w:val="00F15E3F"/>
    <w:rsid w:val="00F160CF"/>
    <w:rsid w:val="00F16AB4"/>
    <w:rsid w:val="00F20A54"/>
    <w:rsid w:val="00F20A81"/>
    <w:rsid w:val="00F20E84"/>
    <w:rsid w:val="00F22826"/>
    <w:rsid w:val="00F23383"/>
    <w:rsid w:val="00F24054"/>
    <w:rsid w:val="00F24B44"/>
    <w:rsid w:val="00F26667"/>
    <w:rsid w:val="00F27B1E"/>
    <w:rsid w:val="00F3009B"/>
    <w:rsid w:val="00F30948"/>
    <w:rsid w:val="00F31832"/>
    <w:rsid w:val="00F31A9E"/>
    <w:rsid w:val="00F32014"/>
    <w:rsid w:val="00F32D73"/>
    <w:rsid w:val="00F33035"/>
    <w:rsid w:val="00F33A6F"/>
    <w:rsid w:val="00F34235"/>
    <w:rsid w:val="00F3450B"/>
    <w:rsid w:val="00F3458C"/>
    <w:rsid w:val="00F34A34"/>
    <w:rsid w:val="00F35109"/>
    <w:rsid w:val="00F355AF"/>
    <w:rsid w:val="00F35B9B"/>
    <w:rsid w:val="00F3657E"/>
    <w:rsid w:val="00F3667C"/>
    <w:rsid w:val="00F36DF9"/>
    <w:rsid w:val="00F37330"/>
    <w:rsid w:val="00F41006"/>
    <w:rsid w:val="00F4130D"/>
    <w:rsid w:val="00F4224D"/>
    <w:rsid w:val="00F42AFF"/>
    <w:rsid w:val="00F4387D"/>
    <w:rsid w:val="00F45768"/>
    <w:rsid w:val="00F46620"/>
    <w:rsid w:val="00F46A36"/>
    <w:rsid w:val="00F46BC3"/>
    <w:rsid w:val="00F479E6"/>
    <w:rsid w:val="00F47D31"/>
    <w:rsid w:val="00F50782"/>
    <w:rsid w:val="00F50829"/>
    <w:rsid w:val="00F50A76"/>
    <w:rsid w:val="00F510E4"/>
    <w:rsid w:val="00F51281"/>
    <w:rsid w:val="00F512BB"/>
    <w:rsid w:val="00F51C8D"/>
    <w:rsid w:val="00F52039"/>
    <w:rsid w:val="00F521B7"/>
    <w:rsid w:val="00F527A8"/>
    <w:rsid w:val="00F528D8"/>
    <w:rsid w:val="00F54129"/>
    <w:rsid w:val="00F54470"/>
    <w:rsid w:val="00F551B7"/>
    <w:rsid w:val="00F554DC"/>
    <w:rsid w:val="00F55CCB"/>
    <w:rsid w:val="00F562EC"/>
    <w:rsid w:val="00F56334"/>
    <w:rsid w:val="00F56C45"/>
    <w:rsid w:val="00F57651"/>
    <w:rsid w:val="00F579E5"/>
    <w:rsid w:val="00F60381"/>
    <w:rsid w:val="00F60E08"/>
    <w:rsid w:val="00F61E37"/>
    <w:rsid w:val="00F628CD"/>
    <w:rsid w:val="00F639D5"/>
    <w:rsid w:val="00F646A6"/>
    <w:rsid w:val="00F65200"/>
    <w:rsid w:val="00F65B9A"/>
    <w:rsid w:val="00F6690D"/>
    <w:rsid w:val="00F707D0"/>
    <w:rsid w:val="00F70C81"/>
    <w:rsid w:val="00F71712"/>
    <w:rsid w:val="00F721EE"/>
    <w:rsid w:val="00F724D4"/>
    <w:rsid w:val="00F72B4B"/>
    <w:rsid w:val="00F72B7E"/>
    <w:rsid w:val="00F73508"/>
    <w:rsid w:val="00F747D7"/>
    <w:rsid w:val="00F74861"/>
    <w:rsid w:val="00F75837"/>
    <w:rsid w:val="00F75D7B"/>
    <w:rsid w:val="00F76AD2"/>
    <w:rsid w:val="00F77904"/>
    <w:rsid w:val="00F779E1"/>
    <w:rsid w:val="00F77BF7"/>
    <w:rsid w:val="00F77E65"/>
    <w:rsid w:val="00F80989"/>
    <w:rsid w:val="00F828DB"/>
    <w:rsid w:val="00F8300F"/>
    <w:rsid w:val="00F834D7"/>
    <w:rsid w:val="00F83D6C"/>
    <w:rsid w:val="00F8408C"/>
    <w:rsid w:val="00F8662B"/>
    <w:rsid w:val="00F87CD2"/>
    <w:rsid w:val="00F90959"/>
    <w:rsid w:val="00F90B3A"/>
    <w:rsid w:val="00F90C66"/>
    <w:rsid w:val="00F91761"/>
    <w:rsid w:val="00F95068"/>
    <w:rsid w:val="00F952A0"/>
    <w:rsid w:val="00F969A5"/>
    <w:rsid w:val="00F96A17"/>
    <w:rsid w:val="00F97768"/>
    <w:rsid w:val="00FA17FB"/>
    <w:rsid w:val="00FA1CC5"/>
    <w:rsid w:val="00FA3D47"/>
    <w:rsid w:val="00FA54C2"/>
    <w:rsid w:val="00FA567B"/>
    <w:rsid w:val="00FA5843"/>
    <w:rsid w:val="00FA6337"/>
    <w:rsid w:val="00FA6453"/>
    <w:rsid w:val="00FA6A00"/>
    <w:rsid w:val="00FA7516"/>
    <w:rsid w:val="00FA7835"/>
    <w:rsid w:val="00FA7D39"/>
    <w:rsid w:val="00FB0EF5"/>
    <w:rsid w:val="00FB1865"/>
    <w:rsid w:val="00FB1923"/>
    <w:rsid w:val="00FB299F"/>
    <w:rsid w:val="00FB2AFA"/>
    <w:rsid w:val="00FB37C6"/>
    <w:rsid w:val="00FB45ED"/>
    <w:rsid w:val="00FB4B6D"/>
    <w:rsid w:val="00FB5503"/>
    <w:rsid w:val="00FB653C"/>
    <w:rsid w:val="00FB657F"/>
    <w:rsid w:val="00FB681D"/>
    <w:rsid w:val="00FB6EAC"/>
    <w:rsid w:val="00FB7215"/>
    <w:rsid w:val="00FB7A3A"/>
    <w:rsid w:val="00FC0781"/>
    <w:rsid w:val="00FC09AB"/>
    <w:rsid w:val="00FC147E"/>
    <w:rsid w:val="00FC1F3D"/>
    <w:rsid w:val="00FC2299"/>
    <w:rsid w:val="00FC2AA9"/>
    <w:rsid w:val="00FC30BB"/>
    <w:rsid w:val="00FC4D0A"/>
    <w:rsid w:val="00FC5360"/>
    <w:rsid w:val="00FC5652"/>
    <w:rsid w:val="00FC608E"/>
    <w:rsid w:val="00FC642D"/>
    <w:rsid w:val="00FC65F4"/>
    <w:rsid w:val="00FC743A"/>
    <w:rsid w:val="00FC763D"/>
    <w:rsid w:val="00FC76B9"/>
    <w:rsid w:val="00FC77E1"/>
    <w:rsid w:val="00FC7A74"/>
    <w:rsid w:val="00FC7AAD"/>
    <w:rsid w:val="00FC7DD8"/>
    <w:rsid w:val="00FD065E"/>
    <w:rsid w:val="00FD09BF"/>
    <w:rsid w:val="00FD09E5"/>
    <w:rsid w:val="00FD1569"/>
    <w:rsid w:val="00FD15FD"/>
    <w:rsid w:val="00FD19EE"/>
    <w:rsid w:val="00FD1A18"/>
    <w:rsid w:val="00FD2340"/>
    <w:rsid w:val="00FD373B"/>
    <w:rsid w:val="00FD38F0"/>
    <w:rsid w:val="00FD5E41"/>
    <w:rsid w:val="00FD67E0"/>
    <w:rsid w:val="00FD6DA9"/>
    <w:rsid w:val="00FD7A4D"/>
    <w:rsid w:val="00FE0350"/>
    <w:rsid w:val="00FE232C"/>
    <w:rsid w:val="00FE29CA"/>
    <w:rsid w:val="00FE35AB"/>
    <w:rsid w:val="00FE3DDC"/>
    <w:rsid w:val="00FE4260"/>
    <w:rsid w:val="00FE464C"/>
    <w:rsid w:val="00FE4F04"/>
    <w:rsid w:val="00FE6812"/>
    <w:rsid w:val="00FE7EAF"/>
    <w:rsid w:val="00FF014E"/>
    <w:rsid w:val="00FF0763"/>
    <w:rsid w:val="00FF2345"/>
    <w:rsid w:val="00FF32D7"/>
    <w:rsid w:val="00FF35E2"/>
    <w:rsid w:val="00FF3873"/>
    <w:rsid w:val="00FF527D"/>
    <w:rsid w:val="00FF5722"/>
    <w:rsid w:val="00FF6057"/>
    <w:rsid w:val="00FF64A8"/>
    <w:rsid w:val="00FF6619"/>
    <w:rsid w:val="00FF6CEF"/>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27A10A1"/>
  <w15:docId w15:val="{582656A0-3D00-48DD-A594-5846B73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MD"/>
    </w:rPr>
  </w:style>
  <w:style w:type="paragraph" w:styleId="Heading1">
    <w:name w:val="heading 1"/>
    <w:basedOn w:val="Normal"/>
    <w:next w:val="Normal"/>
    <w:link w:val="Heading1Char"/>
    <w:qFormat/>
    <w:pPr>
      <w:keepNext/>
      <w:ind w:right="-1" w:firstLine="540"/>
      <w:jc w:val="center"/>
      <w:outlineLvl w:val="0"/>
    </w:pPr>
    <w:rPr>
      <w:b/>
    </w:rPr>
  </w:style>
  <w:style w:type="paragraph" w:styleId="Heading2">
    <w:name w:val="heading 2"/>
    <w:basedOn w:val="Normal"/>
    <w:next w:val="Normal"/>
    <w:rsid w:val="00B63906"/>
    <w:pPr>
      <w:keepNext/>
      <w:spacing w:before="240" w:after="60"/>
      <w:outlineLvl w:val="1"/>
    </w:pPr>
    <w:rPr>
      <w:rFonts w:ascii="Arial" w:hAnsi="Arial" w:cs="Arial"/>
      <w:b/>
      <w:bCs/>
      <w:i/>
      <w:iCs/>
      <w:sz w:val="28"/>
      <w:szCs w:val="28"/>
    </w:rPr>
  </w:style>
  <w:style w:type="paragraph" w:styleId="Heading3">
    <w:name w:val="heading 3"/>
    <w:basedOn w:val="Normal"/>
    <w:next w:val="Normal"/>
    <w:rsid w:val="006037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8B5F14"/>
    <w:pPr>
      <w:keepNext/>
      <w:spacing w:before="240" w:after="60"/>
      <w:outlineLvl w:val="3"/>
    </w:pPr>
    <w:rPr>
      <w:b/>
      <w:bCs/>
      <w:sz w:val="28"/>
      <w:szCs w:val="28"/>
      <w:lang w:val="ru-RU"/>
    </w:rPr>
  </w:style>
  <w:style w:type="paragraph" w:styleId="Heading5">
    <w:name w:val="heading 5"/>
    <w:basedOn w:val="Normal"/>
    <w:next w:val="Normal"/>
    <w:rsid w:val="005C6934"/>
    <w:pPr>
      <w:spacing w:before="240" w:after="60"/>
      <w:outlineLvl w:val="4"/>
    </w:pPr>
    <w:rPr>
      <w:b/>
      <w:bCs/>
      <w:i/>
      <w:iCs/>
      <w:sz w:val="26"/>
      <w:szCs w:val="26"/>
    </w:rPr>
  </w:style>
  <w:style w:type="paragraph" w:styleId="Heading6">
    <w:name w:val="heading 6"/>
    <w:basedOn w:val="Normal"/>
    <w:next w:val="Normal"/>
    <w:rsid w:val="005C693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ind w:right="-1"/>
      <w:jc w:val="center"/>
      <w:textAlignment w:val="baseline"/>
    </w:pPr>
    <w:rPr>
      <w:b/>
      <w:szCs w:val="20"/>
      <w:lang w:val="ro-RO"/>
    </w:rPr>
  </w:style>
  <w:style w:type="paragraph" w:styleId="BodyText">
    <w:name w:val="Body Text"/>
    <w:basedOn w:val="Normal"/>
    <w:link w:val="BodyTextChar"/>
    <w:pPr>
      <w:overflowPunct w:val="0"/>
      <w:autoSpaceDE w:val="0"/>
      <w:autoSpaceDN w:val="0"/>
      <w:adjustRightInd w:val="0"/>
      <w:ind w:right="-1"/>
      <w:jc w:val="center"/>
      <w:textAlignment w:val="baseline"/>
    </w:pPr>
    <w:rPr>
      <w:b/>
      <w:i/>
      <w:szCs w:val="20"/>
    </w:rPr>
  </w:style>
  <w:style w:type="character" w:customStyle="1" w:styleId="BodyTextChar">
    <w:name w:val="Body Text Char"/>
    <w:link w:val="BodyText"/>
    <w:rsid w:val="00EC0515"/>
    <w:rPr>
      <w:b/>
      <w:i/>
      <w:sz w:val="24"/>
      <w:lang w:val="ro-MD" w:eastAsia="en-US" w:bidi="ar-SA"/>
    </w:rPr>
  </w:style>
  <w:style w:type="paragraph" w:styleId="BodyTextIndent3">
    <w:name w:val="Body Text Indent 3"/>
    <w:basedOn w:val="Normal"/>
    <w:link w:val="BodyTextIndent3Char"/>
    <w:pPr>
      <w:overflowPunct w:val="0"/>
      <w:autoSpaceDE w:val="0"/>
      <w:autoSpaceDN w:val="0"/>
      <w:adjustRightInd w:val="0"/>
      <w:ind w:right="-1" w:firstLine="540"/>
      <w:jc w:val="both"/>
      <w:textAlignment w:val="baseline"/>
    </w:pPr>
    <w:rPr>
      <w:szCs w:val="20"/>
    </w:rPr>
  </w:style>
  <w:style w:type="paragraph" w:styleId="BodyText2">
    <w:name w:val="Body Text 2"/>
    <w:basedOn w:val="Normal"/>
    <w:link w:val="BodyText2Char"/>
    <w:pPr>
      <w:overflowPunct w:val="0"/>
      <w:autoSpaceDE w:val="0"/>
      <w:autoSpaceDN w:val="0"/>
      <w:adjustRightInd w:val="0"/>
      <w:ind w:firstLine="567"/>
      <w:jc w:val="both"/>
      <w:textAlignment w:val="baseline"/>
    </w:pPr>
    <w:rPr>
      <w:szCs w:val="20"/>
    </w:rPr>
  </w:style>
  <w:style w:type="paragraph" w:styleId="BodyTextIndent2">
    <w:name w:val="Body Text Indent 2"/>
    <w:basedOn w:val="Normal"/>
    <w:pPr>
      <w:overflowPunct w:val="0"/>
      <w:autoSpaceDE w:val="0"/>
      <w:autoSpaceDN w:val="0"/>
      <w:adjustRightInd w:val="0"/>
      <w:ind w:right="-1" w:firstLine="720"/>
      <w:jc w:val="both"/>
      <w:textAlignment w:val="baseline"/>
    </w:pPr>
    <w:rPr>
      <w:szCs w:val="20"/>
      <w:lang w:val="ro-RO"/>
    </w:rPr>
  </w:style>
  <w:style w:type="paragraph" w:styleId="BodyTextIndent">
    <w:name w:val="Body Text Indent"/>
    <w:basedOn w:val="Normal"/>
    <w:link w:val="BodyTextIndentChar"/>
    <w:pPr>
      <w:ind w:firstLine="540"/>
      <w:jc w:val="both"/>
    </w:pPr>
    <w:rPr>
      <w:b/>
      <w:bCs/>
      <w:i/>
      <w:iCs/>
    </w:rPr>
  </w:style>
  <w:style w:type="paragraph" w:styleId="Footer">
    <w:name w:val="footer"/>
    <w:basedOn w:val="Normal"/>
    <w:link w:val="FooterChar"/>
    <w:uiPriority w:val="99"/>
    <w:pPr>
      <w:tabs>
        <w:tab w:val="center" w:pos="4677"/>
        <w:tab w:val="right" w:pos="9355"/>
      </w:tabs>
    </w:pPr>
  </w:style>
  <w:style w:type="character" w:styleId="PageNumber">
    <w:name w:val="page number"/>
    <w:basedOn w:val="DefaultParagraphFont"/>
  </w:style>
  <w:style w:type="paragraph" w:styleId="Header">
    <w:name w:val="header"/>
    <w:basedOn w:val="Normal"/>
    <w:link w:val="HeaderChar"/>
    <w:pPr>
      <w:tabs>
        <w:tab w:val="center" w:pos="4677"/>
        <w:tab w:val="right" w:pos="9355"/>
      </w:tabs>
    </w:pPr>
  </w:style>
  <w:style w:type="paragraph" w:styleId="PlainText">
    <w:name w:val="Plain Text"/>
    <w:basedOn w:val="Normal"/>
    <w:link w:val="PlainTextChar"/>
    <w:uiPriority w:val="99"/>
    <w:rsid w:val="00975455"/>
    <w:rPr>
      <w:rFonts w:ascii="Courier New" w:hAnsi="Courier New" w:cs="Courier New"/>
      <w:sz w:val="20"/>
      <w:szCs w:val="20"/>
      <w:lang w:val="en-US"/>
    </w:rPr>
  </w:style>
  <w:style w:type="paragraph" w:styleId="NormalWeb">
    <w:name w:val="Normal (Web)"/>
    <w:basedOn w:val="Normal"/>
    <w:link w:val="NormalWebChar1"/>
    <w:uiPriority w:val="99"/>
    <w:rsid w:val="00DC2D2B"/>
    <w:pPr>
      <w:ind w:firstLine="567"/>
      <w:jc w:val="both"/>
    </w:pPr>
    <w:rPr>
      <w:lang w:val="ru-RU" w:eastAsia="ru-RU"/>
    </w:rPr>
  </w:style>
  <w:style w:type="paragraph" w:styleId="BodyText3">
    <w:name w:val="Body Text 3"/>
    <w:basedOn w:val="Normal"/>
    <w:rsid w:val="00447C18"/>
    <w:pPr>
      <w:spacing w:after="120"/>
    </w:pPr>
    <w:rPr>
      <w:sz w:val="16"/>
      <w:szCs w:val="16"/>
    </w:rPr>
  </w:style>
  <w:style w:type="paragraph" w:customStyle="1" w:styleId="xl37">
    <w:name w:val="xl37"/>
    <w:basedOn w:val="Normal"/>
    <w:rsid w:val="001F41AE"/>
    <w:pPr>
      <w:spacing w:before="100" w:beforeAutospacing="1" w:after="100" w:afterAutospacing="1"/>
      <w:textAlignment w:val="center"/>
    </w:pPr>
    <w:rPr>
      <w:rFonts w:ascii="Arial" w:hAnsi="Arial"/>
      <w:b/>
      <w:bCs/>
      <w:lang w:val="en-GB"/>
    </w:rPr>
  </w:style>
  <w:style w:type="paragraph" w:customStyle="1" w:styleId="CharChar">
    <w:name w:val="Знак Знак Char Char Знак Знак"/>
    <w:basedOn w:val="Normal"/>
    <w:next w:val="Normal"/>
    <w:rsid w:val="001F41AE"/>
    <w:pPr>
      <w:spacing w:after="160" w:line="240" w:lineRule="exact"/>
    </w:pPr>
    <w:rPr>
      <w:rFonts w:ascii="Tahoma" w:hAnsi="Tahoma"/>
      <w:szCs w:val="20"/>
      <w:lang w:val="en-US"/>
    </w:rPr>
  </w:style>
  <w:style w:type="table" w:styleId="TableGrid">
    <w:name w:val="Table Grid"/>
    <w:basedOn w:val="TableNormal"/>
    <w:rsid w:val="001F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Îáû÷íûé"/>
    <w:rsid w:val="00B74BBE"/>
    <w:rPr>
      <w:sz w:val="28"/>
      <w:lang w:val="ro-RO"/>
    </w:rPr>
  </w:style>
  <w:style w:type="paragraph" w:customStyle="1" w:styleId="Char">
    <w:name w:val="Char"/>
    <w:basedOn w:val="Normal"/>
    <w:next w:val="Normal"/>
    <w:rsid w:val="00695A28"/>
    <w:pPr>
      <w:spacing w:after="160" w:line="240" w:lineRule="exact"/>
    </w:pPr>
    <w:rPr>
      <w:rFonts w:ascii="Tahoma" w:hAnsi="Tahoma"/>
      <w:szCs w:val="20"/>
      <w:lang w:val="en-US"/>
    </w:rPr>
  </w:style>
  <w:style w:type="paragraph" w:customStyle="1" w:styleId="HCE">
    <w:name w:val="!HCE"/>
    <w:basedOn w:val="BodyText"/>
    <w:link w:val="HCEChar"/>
    <w:qFormat/>
    <w:rsid w:val="00784D6D"/>
    <w:pPr>
      <w:tabs>
        <w:tab w:val="left" w:pos="1134"/>
      </w:tabs>
      <w:ind w:right="0" w:firstLine="720"/>
      <w:jc w:val="both"/>
    </w:pPr>
    <w:rPr>
      <w:b w:val="0"/>
      <w:i w:val="0"/>
      <w:szCs w:val="28"/>
      <w:lang w:val="ro-RO"/>
    </w:rPr>
  </w:style>
  <w:style w:type="character" w:customStyle="1" w:styleId="HCEChar">
    <w:name w:val="!HCE Char"/>
    <w:link w:val="HCE"/>
    <w:rsid w:val="00784D6D"/>
    <w:rPr>
      <w:sz w:val="24"/>
      <w:szCs w:val="28"/>
      <w:lang w:val="ro-RO"/>
    </w:rPr>
  </w:style>
  <w:style w:type="paragraph" w:customStyle="1" w:styleId="HCEnumerare">
    <w:name w:val="!HCE_numerare"/>
    <w:basedOn w:val="BodyText"/>
    <w:link w:val="HCEnumerareChar"/>
    <w:qFormat/>
    <w:rsid w:val="00784D6D"/>
    <w:pPr>
      <w:numPr>
        <w:numId w:val="3"/>
      </w:numPr>
      <w:tabs>
        <w:tab w:val="left" w:pos="1134"/>
      </w:tabs>
      <w:overflowPunct/>
      <w:autoSpaceDE/>
      <w:autoSpaceDN/>
      <w:adjustRightInd/>
      <w:spacing w:after="120"/>
      <w:ind w:left="0" w:right="0" w:firstLine="720"/>
      <w:jc w:val="both"/>
      <w:textAlignment w:val="auto"/>
    </w:pPr>
    <w:rPr>
      <w:b w:val="0"/>
      <w:i w:val="0"/>
      <w:szCs w:val="28"/>
    </w:rPr>
  </w:style>
  <w:style w:type="character" w:customStyle="1" w:styleId="HCEnumerareChar">
    <w:name w:val="!HCE_numerare Char"/>
    <w:link w:val="HCEnumerare"/>
    <w:rsid w:val="00784D6D"/>
    <w:rPr>
      <w:sz w:val="24"/>
      <w:szCs w:val="28"/>
      <w:lang w:val="ro-MD"/>
    </w:rPr>
  </w:style>
  <w:style w:type="paragraph" w:customStyle="1" w:styleId="Char0">
    <w:name w:val="Char"/>
    <w:basedOn w:val="Normal"/>
    <w:next w:val="Normal"/>
    <w:rsid w:val="00EC0515"/>
    <w:pPr>
      <w:spacing w:after="160" w:line="240" w:lineRule="exact"/>
    </w:pPr>
    <w:rPr>
      <w:rFonts w:ascii="Tahoma" w:hAnsi="Tahoma"/>
      <w:szCs w:val="20"/>
      <w:lang w:val="en-US"/>
    </w:rPr>
  </w:style>
  <w:style w:type="paragraph" w:customStyle="1" w:styleId="CharCharCharChar">
    <w:name w:val="Char Char Char Char Знак"/>
    <w:basedOn w:val="Normal"/>
    <w:rsid w:val="008D0854"/>
    <w:rPr>
      <w:rFonts w:ascii="Verdana" w:hAnsi="Verdana" w:cs="Verdana"/>
      <w:sz w:val="20"/>
      <w:szCs w:val="20"/>
      <w:lang w:val="en-US"/>
    </w:rPr>
  </w:style>
  <w:style w:type="paragraph" w:customStyle="1" w:styleId="a0">
    <w:name w:val="Знак"/>
    <w:basedOn w:val="Normal"/>
    <w:rsid w:val="006871AC"/>
    <w:pPr>
      <w:spacing w:after="160" w:line="240" w:lineRule="exact"/>
    </w:pPr>
    <w:rPr>
      <w:rFonts w:ascii="Arial" w:eastAsia="Batang" w:hAnsi="Arial" w:cs="Arial"/>
      <w:sz w:val="20"/>
      <w:szCs w:val="20"/>
      <w:lang w:val="en-US"/>
    </w:rPr>
  </w:style>
  <w:style w:type="paragraph" w:customStyle="1" w:styleId="a1">
    <w:name w:val="Знак"/>
    <w:basedOn w:val="Normal"/>
    <w:rsid w:val="0030557E"/>
    <w:pPr>
      <w:spacing w:after="160" w:line="240" w:lineRule="exact"/>
    </w:pPr>
    <w:rPr>
      <w:rFonts w:ascii="Arial" w:eastAsia="Batang" w:hAnsi="Arial" w:cs="Arial"/>
      <w:sz w:val="20"/>
      <w:szCs w:val="20"/>
      <w:lang w:val="en-US"/>
    </w:rPr>
  </w:style>
  <w:style w:type="paragraph" w:styleId="CommentText">
    <w:name w:val="annotation text"/>
    <w:basedOn w:val="Normal"/>
    <w:link w:val="CommentTextChar"/>
    <w:rsid w:val="006F15B1"/>
    <w:rPr>
      <w:sz w:val="20"/>
      <w:szCs w:val="20"/>
      <w:lang w:val="en-US"/>
    </w:rPr>
  </w:style>
  <w:style w:type="paragraph" w:customStyle="1" w:styleId="p0">
    <w:name w:val="p0"/>
    <w:basedOn w:val="Normal"/>
    <w:rsid w:val="00747FE0"/>
    <w:pPr>
      <w:widowControl w:val="0"/>
      <w:tabs>
        <w:tab w:val="left" w:pos="720"/>
      </w:tabs>
      <w:spacing w:line="240" w:lineRule="atLeast"/>
      <w:jc w:val="both"/>
    </w:pPr>
    <w:rPr>
      <w:szCs w:val="20"/>
      <w:lang w:val="en-US"/>
    </w:rPr>
  </w:style>
  <w:style w:type="paragraph" w:styleId="ListParagraph">
    <w:name w:val="List Paragraph"/>
    <w:basedOn w:val="Normal"/>
    <w:uiPriority w:val="34"/>
    <w:qFormat/>
    <w:rsid w:val="00DD2067"/>
    <w:pPr>
      <w:ind w:left="720"/>
    </w:pPr>
  </w:style>
  <w:style w:type="paragraph" w:customStyle="1" w:styleId="tt">
    <w:name w:val="tt"/>
    <w:basedOn w:val="Normal"/>
    <w:rsid w:val="002933CB"/>
    <w:pPr>
      <w:jc w:val="center"/>
    </w:pPr>
    <w:rPr>
      <w:b/>
      <w:bCs/>
      <w:lang w:val="ru-RU" w:eastAsia="ru-RU"/>
    </w:rPr>
  </w:style>
  <w:style w:type="paragraph" w:styleId="List">
    <w:name w:val="List"/>
    <w:basedOn w:val="BodyText"/>
    <w:rsid w:val="00D96C0F"/>
    <w:pPr>
      <w:widowControl w:val="0"/>
      <w:suppressAutoHyphens/>
      <w:overflowPunct/>
      <w:autoSpaceDE/>
      <w:autoSpaceDN/>
      <w:adjustRightInd/>
      <w:ind w:right="0"/>
      <w:jc w:val="left"/>
      <w:textAlignment w:val="auto"/>
    </w:pPr>
    <w:rPr>
      <w:rFonts w:cs="Tahoma"/>
      <w:b w:val="0"/>
      <w:i w:val="0"/>
      <w:sz w:val="20"/>
      <w:lang w:val="en-US" w:eastAsia="ar-SA"/>
    </w:rPr>
  </w:style>
  <w:style w:type="paragraph" w:styleId="BalloonText">
    <w:name w:val="Balloon Text"/>
    <w:basedOn w:val="Normal"/>
    <w:link w:val="BalloonTextChar"/>
    <w:semiHidden/>
    <w:rsid w:val="001D1251"/>
    <w:rPr>
      <w:rFonts w:ascii="Tahoma" w:hAnsi="Tahoma" w:cs="Tahoma"/>
      <w:sz w:val="16"/>
      <w:szCs w:val="16"/>
    </w:rPr>
  </w:style>
  <w:style w:type="paragraph" w:styleId="BlockText">
    <w:name w:val="Block Text"/>
    <w:basedOn w:val="Normal"/>
    <w:rsid w:val="00D61687"/>
    <w:pPr>
      <w:ind w:left="851" w:right="567" w:firstLine="1134"/>
      <w:jc w:val="both"/>
    </w:pPr>
    <w:rPr>
      <w:sz w:val="26"/>
      <w:szCs w:val="20"/>
      <w:lang w:val="ro-RO"/>
    </w:rPr>
  </w:style>
  <w:style w:type="character" w:customStyle="1" w:styleId="hps">
    <w:name w:val="hps"/>
    <w:basedOn w:val="DefaultParagraphFont"/>
    <w:rsid w:val="00045F33"/>
  </w:style>
  <w:style w:type="paragraph" w:customStyle="1" w:styleId="p111">
    <w:name w:val="p111"/>
    <w:basedOn w:val="Normal"/>
    <w:rsid w:val="00A41110"/>
    <w:pPr>
      <w:widowControl w:val="0"/>
      <w:spacing w:line="220" w:lineRule="atLeast"/>
    </w:pPr>
    <w:rPr>
      <w:szCs w:val="20"/>
      <w:lang w:val="en-US"/>
    </w:rPr>
  </w:style>
  <w:style w:type="paragraph" w:customStyle="1" w:styleId="cn">
    <w:name w:val="cn"/>
    <w:basedOn w:val="Normal"/>
    <w:rsid w:val="00CB03B0"/>
    <w:pPr>
      <w:jc w:val="center"/>
    </w:pPr>
    <w:rPr>
      <w:lang w:val="ru-RU" w:eastAsia="ru-RU"/>
    </w:rPr>
  </w:style>
  <w:style w:type="paragraph" w:customStyle="1" w:styleId="CaracterCaracter">
    <w:name w:val="Caracter Caracter"/>
    <w:basedOn w:val="Normal"/>
    <w:next w:val="Normal"/>
    <w:rsid w:val="00F27B1E"/>
    <w:pPr>
      <w:spacing w:after="160" w:line="240" w:lineRule="exact"/>
    </w:pPr>
    <w:rPr>
      <w:rFonts w:ascii="Tahoma" w:hAnsi="Tahoma"/>
      <w:szCs w:val="20"/>
      <w:lang w:val="en-US"/>
    </w:rPr>
  </w:style>
  <w:style w:type="character" w:customStyle="1" w:styleId="ln2tlitera">
    <w:name w:val="ln2tlitera"/>
    <w:basedOn w:val="DefaultParagraphFont"/>
    <w:rsid w:val="00954CE3"/>
  </w:style>
  <w:style w:type="character" w:customStyle="1" w:styleId="longtext">
    <w:name w:val="long_text"/>
    <w:basedOn w:val="DefaultParagraphFont"/>
    <w:rsid w:val="00954CE3"/>
  </w:style>
  <w:style w:type="character" w:customStyle="1" w:styleId="FontStyle20">
    <w:name w:val="Font Style20"/>
    <w:rsid w:val="0013236A"/>
    <w:rPr>
      <w:rFonts w:ascii="Arial" w:hAnsi="Arial" w:cs="Arial"/>
      <w:sz w:val="20"/>
      <w:szCs w:val="20"/>
    </w:rPr>
  </w:style>
  <w:style w:type="paragraph" w:customStyle="1" w:styleId="CaracterCaracter0">
    <w:name w:val="Caracter Caracter"/>
    <w:basedOn w:val="Normal"/>
    <w:rsid w:val="0069347E"/>
    <w:pPr>
      <w:spacing w:after="160" w:line="240" w:lineRule="exact"/>
    </w:pPr>
    <w:rPr>
      <w:rFonts w:ascii="Arial" w:eastAsia="Batang" w:hAnsi="Arial" w:cs="Arial"/>
      <w:sz w:val="20"/>
      <w:szCs w:val="20"/>
      <w:lang w:val="en-US"/>
    </w:rPr>
  </w:style>
  <w:style w:type="character" w:styleId="Hyperlink">
    <w:name w:val="Hyperlink"/>
    <w:rsid w:val="004E6118"/>
    <w:rPr>
      <w:color w:val="0000FF"/>
      <w:u w:val="single"/>
    </w:rPr>
  </w:style>
  <w:style w:type="paragraph" w:customStyle="1" w:styleId="Normal0">
    <w:name w:val="[Normal]"/>
    <w:rsid w:val="008953A9"/>
    <w:pPr>
      <w:autoSpaceDE w:val="0"/>
      <w:autoSpaceDN w:val="0"/>
      <w:adjustRightInd w:val="0"/>
    </w:pPr>
    <w:rPr>
      <w:rFonts w:ascii="Arial" w:hAnsi="Arial" w:cs="Arial"/>
      <w:sz w:val="24"/>
      <w:szCs w:val="24"/>
    </w:rPr>
  </w:style>
  <w:style w:type="paragraph" w:customStyle="1" w:styleId="CevasCunumerotare">
    <w:name w:val="Cevas_Cu numerotare"/>
    <w:basedOn w:val="Normal"/>
    <w:rsid w:val="009275E2"/>
    <w:pPr>
      <w:numPr>
        <w:numId w:val="1"/>
      </w:numPr>
    </w:pPr>
    <w:rPr>
      <w:rFonts w:eastAsia="Calibri"/>
      <w:lang w:val="en-GB"/>
    </w:rPr>
  </w:style>
  <w:style w:type="paragraph" w:customStyle="1" w:styleId="pb">
    <w:name w:val="pb"/>
    <w:basedOn w:val="Normal"/>
    <w:rsid w:val="00FB653C"/>
    <w:pPr>
      <w:jc w:val="center"/>
    </w:pPr>
    <w:rPr>
      <w:i/>
      <w:iCs/>
      <w:color w:val="663300"/>
      <w:sz w:val="20"/>
      <w:szCs w:val="20"/>
      <w:lang w:val="ru-RU" w:eastAsia="ru-RU"/>
    </w:rPr>
  </w:style>
  <w:style w:type="character" w:customStyle="1" w:styleId="BodyTextIndentChar">
    <w:name w:val="Body Text Indent Char"/>
    <w:link w:val="BodyTextIndent"/>
    <w:rsid w:val="00FB653C"/>
    <w:rPr>
      <w:b/>
      <w:bCs/>
      <w:i/>
      <w:iCs/>
      <w:sz w:val="24"/>
      <w:szCs w:val="24"/>
      <w:lang w:val="ro-MD" w:eastAsia="en-US" w:bidi="ar-SA"/>
    </w:rPr>
  </w:style>
  <w:style w:type="paragraph" w:customStyle="1" w:styleId="cp">
    <w:name w:val="cp"/>
    <w:basedOn w:val="Normal"/>
    <w:rsid w:val="00FB653C"/>
    <w:pPr>
      <w:jc w:val="center"/>
    </w:pPr>
    <w:rPr>
      <w:b/>
      <w:bCs/>
      <w:lang w:val="ru-RU" w:eastAsia="ru-RU"/>
    </w:rPr>
  </w:style>
  <w:style w:type="character" w:customStyle="1" w:styleId="HeaderChar">
    <w:name w:val="Header Char"/>
    <w:link w:val="Header"/>
    <w:rsid w:val="00FB653C"/>
    <w:rPr>
      <w:sz w:val="24"/>
      <w:szCs w:val="24"/>
      <w:lang w:val="ro-MD" w:eastAsia="en-US" w:bidi="ar-SA"/>
    </w:rPr>
  </w:style>
  <w:style w:type="character" w:customStyle="1" w:styleId="FooterChar">
    <w:name w:val="Footer Char"/>
    <w:link w:val="Footer"/>
    <w:uiPriority w:val="99"/>
    <w:rsid w:val="00FB653C"/>
    <w:rPr>
      <w:sz w:val="24"/>
      <w:szCs w:val="24"/>
      <w:lang w:val="ro-MD" w:eastAsia="en-US" w:bidi="ar-SA"/>
    </w:rPr>
  </w:style>
  <w:style w:type="character" w:customStyle="1" w:styleId="PlainTextChar">
    <w:name w:val="Plain Text Char"/>
    <w:link w:val="PlainText"/>
    <w:uiPriority w:val="99"/>
    <w:rsid w:val="00FB653C"/>
    <w:rPr>
      <w:rFonts w:ascii="Courier New" w:hAnsi="Courier New" w:cs="Courier New"/>
      <w:lang w:val="en-US" w:eastAsia="en-US" w:bidi="ar-SA"/>
    </w:rPr>
  </w:style>
  <w:style w:type="character" w:customStyle="1" w:styleId="Heading4Char">
    <w:name w:val="Heading 4 Char"/>
    <w:link w:val="Heading4"/>
    <w:rsid w:val="00FB653C"/>
    <w:rPr>
      <w:b/>
      <w:bCs/>
      <w:sz w:val="28"/>
      <w:szCs w:val="28"/>
      <w:lang w:val="ru-RU" w:eastAsia="en-US" w:bidi="ar-SA"/>
    </w:rPr>
  </w:style>
  <w:style w:type="character" w:customStyle="1" w:styleId="NormalWebChar1">
    <w:name w:val="Normal (Web) Char1"/>
    <w:link w:val="NormalWeb"/>
    <w:rsid w:val="00FB653C"/>
    <w:rPr>
      <w:sz w:val="24"/>
      <w:szCs w:val="24"/>
      <w:lang w:val="ru-RU" w:eastAsia="ru-RU" w:bidi="ar-SA"/>
    </w:rPr>
  </w:style>
  <w:style w:type="paragraph" w:customStyle="1" w:styleId="cb">
    <w:name w:val="cb"/>
    <w:basedOn w:val="Normal"/>
    <w:rsid w:val="00AF29DB"/>
    <w:pPr>
      <w:jc w:val="center"/>
    </w:pPr>
    <w:rPr>
      <w:b/>
      <w:bCs/>
      <w:lang w:val="ru-RU" w:eastAsia="ru-RU"/>
    </w:rPr>
  </w:style>
  <w:style w:type="character" w:customStyle="1" w:styleId="acttalineat">
    <w:name w:val="act_talineat"/>
    <w:basedOn w:val="DefaultParagraphFont"/>
    <w:rsid w:val="00AF29DB"/>
  </w:style>
  <w:style w:type="character" w:customStyle="1" w:styleId="NormalWebChar">
    <w:name w:val="Normal (Web) Char"/>
    <w:locked/>
    <w:rsid w:val="00AF29DB"/>
    <w:rPr>
      <w:sz w:val="24"/>
      <w:szCs w:val="24"/>
      <w:lang w:val="ru-RU" w:eastAsia="ru-RU" w:bidi="ar-SA"/>
    </w:rPr>
  </w:style>
  <w:style w:type="character" w:styleId="Strong">
    <w:name w:val="Strong"/>
    <w:uiPriority w:val="22"/>
    <w:qFormat/>
    <w:rsid w:val="000F2598"/>
    <w:rPr>
      <w:b/>
      <w:bCs/>
    </w:rPr>
  </w:style>
  <w:style w:type="character" w:customStyle="1" w:styleId="TitleChar">
    <w:name w:val="Title Char"/>
    <w:link w:val="Title"/>
    <w:rsid w:val="00962910"/>
    <w:rPr>
      <w:b/>
      <w:sz w:val="24"/>
      <w:lang w:val="ro-RO"/>
    </w:rPr>
  </w:style>
  <w:style w:type="character" w:customStyle="1" w:styleId="BodyText2Char">
    <w:name w:val="Body Text 2 Char"/>
    <w:link w:val="BodyText2"/>
    <w:rsid w:val="00962910"/>
    <w:rPr>
      <w:sz w:val="24"/>
      <w:lang w:val="ro-MD"/>
    </w:rPr>
  </w:style>
  <w:style w:type="paragraph" w:customStyle="1" w:styleId="CharChar0">
    <w:name w:val="Char Char"/>
    <w:basedOn w:val="Normal"/>
    <w:next w:val="Normal"/>
    <w:rsid w:val="0005328B"/>
    <w:pPr>
      <w:spacing w:after="160" w:line="240" w:lineRule="exact"/>
    </w:pPr>
    <w:rPr>
      <w:rFonts w:ascii="Tahoma" w:hAnsi="Tahoma"/>
      <w:szCs w:val="20"/>
      <w:lang w:val="en-US"/>
    </w:rPr>
  </w:style>
  <w:style w:type="character" w:customStyle="1" w:styleId="apple-converted-space">
    <w:name w:val="apple-converted-space"/>
    <w:rsid w:val="0090338D"/>
  </w:style>
  <w:style w:type="numbering" w:customStyle="1" w:styleId="Style1">
    <w:name w:val="Style1"/>
    <w:rsid w:val="00F96A17"/>
    <w:pPr>
      <w:numPr>
        <w:numId w:val="2"/>
      </w:numPr>
    </w:pPr>
  </w:style>
  <w:style w:type="paragraph" w:customStyle="1" w:styleId="CharChar1">
    <w:name w:val="Char Char"/>
    <w:basedOn w:val="Normal"/>
    <w:next w:val="Normal"/>
    <w:rsid w:val="008D3940"/>
    <w:pPr>
      <w:spacing w:after="160" w:line="240" w:lineRule="exact"/>
    </w:pPr>
    <w:rPr>
      <w:rFonts w:ascii="Tahoma" w:hAnsi="Tahoma"/>
      <w:szCs w:val="20"/>
      <w:lang w:val="en-US"/>
    </w:rPr>
  </w:style>
  <w:style w:type="paragraph" w:styleId="FootnoteText">
    <w:name w:val="footnote text"/>
    <w:basedOn w:val="Normal"/>
    <w:link w:val="FootnoteTextChar"/>
    <w:uiPriority w:val="99"/>
    <w:unhideWhenUsed/>
    <w:rsid w:val="007662BB"/>
    <w:rPr>
      <w:sz w:val="20"/>
      <w:szCs w:val="20"/>
      <w:lang w:val="en-US"/>
    </w:rPr>
  </w:style>
  <w:style w:type="character" w:customStyle="1" w:styleId="FootnoteTextChar">
    <w:name w:val="Footnote Text Char"/>
    <w:basedOn w:val="DefaultParagraphFont"/>
    <w:link w:val="FootnoteText"/>
    <w:uiPriority w:val="99"/>
    <w:rsid w:val="007662BB"/>
  </w:style>
  <w:style w:type="character" w:styleId="FootnoteReference">
    <w:name w:val="footnote reference"/>
    <w:uiPriority w:val="99"/>
    <w:unhideWhenUsed/>
    <w:rsid w:val="007662BB"/>
    <w:rPr>
      <w:vertAlign w:val="superscript"/>
    </w:rPr>
  </w:style>
  <w:style w:type="paragraph" w:customStyle="1" w:styleId="CharChar2">
    <w:name w:val="Char Char"/>
    <w:basedOn w:val="Normal"/>
    <w:next w:val="Normal"/>
    <w:rsid w:val="007D3E02"/>
    <w:pPr>
      <w:spacing w:after="160" w:line="240" w:lineRule="exact"/>
    </w:pPr>
    <w:rPr>
      <w:rFonts w:ascii="Tahoma" w:hAnsi="Tahoma"/>
      <w:szCs w:val="20"/>
      <w:lang w:val="en-US"/>
    </w:rPr>
  </w:style>
  <w:style w:type="paragraph" w:customStyle="1" w:styleId="HCEhotaraste">
    <w:name w:val="!HCE_hotaraste"/>
    <w:basedOn w:val="HCE"/>
    <w:qFormat/>
    <w:rsid w:val="00784D6D"/>
    <w:pPr>
      <w:tabs>
        <w:tab w:val="clear" w:pos="1134"/>
      </w:tabs>
      <w:ind w:firstLine="0"/>
      <w:jc w:val="center"/>
    </w:pPr>
    <w:rPr>
      <w:b/>
    </w:rPr>
  </w:style>
  <w:style w:type="character" w:customStyle="1" w:styleId="CommentTextChar">
    <w:name w:val="Comment Text Char"/>
    <w:basedOn w:val="DefaultParagraphFont"/>
    <w:link w:val="CommentText"/>
    <w:rsid w:val="00784D6D"/>
  </w:style>
  <w:style w:type="paragraph" w:customStyle="1" w:styleId="HCASpace">
    <w:name w:val="!HCA_Space"/>
    <w:basedOn w:val="BodyText"/>
    <w:link w:val="HCASpaceChar"/>
    <w:rsid w:val="003878EF"/>
    <w:pPr>
      <w:numPr>
        <w:numId w:val="4"/>
      </w:numPr>
      <w:tabs>
        <w:tab w:val="left" w:pos="1080"/>
      </w:tabs>
      <w:overflowPunct/>
      <w:autoSpaceDE/>
      <w:autoSpaceDN/>
      <w:adjustRightInd/>
      <w:spacing w:after="120"/>
      <w:ind w:left="0" w:right="0" w:firstLine="720"/>
      <w:jc w:val="both"/>
      <w:textAlignment w:val="auto"/>
    </w:pPr>
    <w:rPr>
      <w:b w:val="0"/>
      <w:i w:val="0"/>
      <w:sz w:val="28"/>
      <w:szCs w:val="28"/>
    </w:rPr>
  </w:style>
  <w:style w:type="character" w:customStyle="1" w:styleId="HCASpaceChar">
    <w:name w:val="!HCA_Space Char"/>
    <w:link w:val="HCASpace"/>
    <w:rsid w:val="003878EF"/>
    <w:rPr>
      <w:sz w:val="28"/>
      <w:szCs w:val="28"/>
      <w:lang w:val="ro-MD"/>
    </w:rPr>
  </w:style>
  <w:style w:type="character" w:styleId="CommentReference">
    <w:name w:val="annotation reference"/>
    <w:unhideWhenUsed/>
    <w:rsid w:val="00512678"/>
    <w:rPr>
      <w:sz w:val="16"/>
      <w:szCs w:val="16"/>
    </w:rPr>
  </w:style>
  <w:style w:type="paragraph" w:styleId="CommentSubject">
    <w:name w:val="annotation subject"/>
    <w:basedOn w:val="CommentText"/>
    <w:next w:val="CommentText"/>
    <w:link w:val="CommentSubjectChar"/>
    <w:semiHidden/>
    <w:unhideWhenUsed/>
    <w:rsid w:val="00512678"/>
    <w:rPr>
      <w:b/>
      <w:bCs/>
      <w:lang w:val="ro-MD"/>
    </w:rPr>
  </w:style>
  <w:style w:type="character" w:customStyle="1" w:styleId="CommentSubjectChar">
    <w:name w:val="Comment Subject Char"/>
    <w:link w:val="CommentSubject"/>
    <w:semiHidden/>
    <w:rsid w:val="00512678"/>
    <w:rPr>
      <w:b/>
      <w:bCs/>
      <w:lang w:val="ro-MD"/>
    </w:rPr>
  </w:style>
  <w:style w:type="character" w:customStyle="1" w:styleId="BalloonTextChar">
    <w:name w:val="Balloon Text Char"/>
    <w:link w:val="BalloonText"/>
    <w:semiHidden/>
    <w:rsid w:val="00512678"/>
    <w:rPr>
      <w:rFonts w:ascii="Tahoma" w:hAnsi="Tahoma" w:cs="Tahoma"/>
      <w:sz w:val="16"/>
      <w:szCs w:val="16"/>
      <w:lang w:val="ro-MD"/>
    </w:rPr>
  </w:style>
  <w:style w:type="paragraph" w:styleId="Revision">
    <w:name w:val="Revision"/>
    <w:hidden/>
    <w:uiPriority w:val="99"/>
    <w:semiHidden/>
    <w:rsid w:val="00512678"/>
    <w:rPr>
      <w:sz w:val="24"/>
      <w:szCs w:val="24"/>
      <w:lang w:val="ro-MD"/>
    </w:rPr>
  </w:style>
  <w:style w:type="character" w:customStyle="1" w:styleId="Heading1Char">
    <w:name w:val="Heading 1 Char"/>
    <w:link w:val="Heading1"/>
    <w:rsid w:val="00512678"/>
    <w:rPr>
      <w:b/>
      <w:sz w:val="24"/>
      <w:szCs w:val="24"/>
      <w:lang w:val="ro-MD"/>
    </w:rPr>
  </w:style>
  <w:style w:type="numbering" w:customStyle="1" w:styleId="NoList1">
    <w:name w:val="No List1"/>
    <w:next w:val="NoList"/>
    <w:uiPriority w:val="99"/>
    <w:semiHidden/>
    <w:unhideWhenUsed/>
    <w:rsid w:val="009458DF"/>
  </w:style>
  <w:style w:type="character" w:customStyle="1" w:styleId="BodyTextIndent3Char">
    <w:name w:val="Body Text Indent 3 Char"/>
    <w:link w:val="BodyTextIndent3"/>
    <w:rsid w:val="009458DF"/>
    <w:rPr>
      <w:sz w:val="24"/>
      <w:lang w:val="ro-MD"/>
    </w:rPr>
  </w:style>
  <w:style w:type="character" w:customStyle="1" w:styleId="sttcpt">
    <w:name w:val="st_tcpt"/>
    <w:rsid w:val="0094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1282">
      <w:bodyDiv w:val="1"/>
      <w:marLeft w:val="0"/>
      <w:marRight w:val="0"/>
      <w:marTop w:val="0"/>
      <w:marBottom w:val="0"/>
      <w:divBdr>
        <w:top w:val="none" w:sz="0" w:space="0" w:color="auto"/>
        <w:left w:val="none" w:sz="0" w:space="0" w:color="auto"/>
        <w:bottom w:val="none" w:sz="0" w:space="0" w:color="auto"/>
        <w:right w:val="none" w:sz="0" w:space="0" w:color="auto"/>
      </w:divBdr>
    </w:div>
    <w:div w:id="65274151">
      <w:bodyDiv w:val="1"/>
      <w:marLeft w:val="0"/>
      <w:marRight w:val="0"/>
      <w:marTop w:val="0"/>
      <w:marBottom w:val="0"/>
      <w:divBdr>
        <w:top w:val="none" w:sz="0" w:space="0" w:color="auto"/>
        <w:left w:val="none" w:sz="0" w:space="0" w:color="auto"/>
        <w:bottom w:val="none" w:sz="0" w:space="0" w:color="auto"/>
        <w:right w:val="none" w:sz="0" w:space="0" w:color="auto"/>
      </w:divBdr>
    </w:div>
    <w:div w:id="113914186">
      <w:bodyDiv w:val="1"/>
      <w:marLeft w:val="0"/>
      <w:marRight w:val="0"/>
      <w:marTop w:val="0"/>
      <w:marBottom w:val="0"/>
      <w:divBdr>
        <w:top w:val="none" w:sz="0" w:space="0" w:color="auto"/>
        <w:left w:val="none" w:sz="0" w:space="0" w:color="auto"/>
        <w:bottom w:val="none" w:sz="0" w:space="0" w:color="auto"/>
        <w:right w:val="none" w:sz="0" w:space="0" w:color="auto"/>
      </w:divBdr>
    </w:div>
    <w:div w:id="166405605">
      <w:bodyDiv w:val="1"/>
      <w:marLeft w:val="0"/>
      <w:marRight w:val="0"/>
      <w:marTop w:val="0"/>
      <w:marBottom w:val="0"/>
      <w:divBdr>
        <w:top w:val="none" w:sz="0" w:space="0" w:color="auto"/>
        <w:left w:val="none" w:sz="0" w:space="0" w:color="auto"/>
        <w:bottom w:val="none" w:sz="0" w:space="0" w:color="auto"/>
        <w:right w:val="none" w:sz="0" w:space="0" w:color="auto"/>
      </w:divBdr>
    </w:div>
    <w:div w:id="224487630">
      <w:bodyDiv w:val="1"/>
      <w:marLeft w:val="0"/>
      <w:marRight w:val="0"/>
      <w:marTop w:val="0"/>
      <w:marBottom w:val="0"/>
      <w:divBdr>
        <w:top w:val="none" w:sz="0" w:space="0" w:color="auto"/>
        <w:left w:val="none" w:sz="0" w:space="0" w:color="auto"/>
        <w:bottom w:val="none" w:sz="0" w:space="0" w:color="auto"/>
        <w:right w:val="none" w:sz="0" w:space="0" w:color="auto"/>
      </w:divBdr>
    </w:div>
    <w:div w:id="296110134">
      <w:bodyDiv w:val="1"/>
      <w:marLeft w:val="0"/>
      <w:marRight w:val="0"/>
      <w:marTop w:val="0"/>
      <w:marBottom w:val="0"/>
      <w:divBdr>
        <w:top w:val="none" w:sz="0" w:space="0" w:color="auto"/>
        <w:left w:val="none" w:sz="0" w:space="0" w:color="auto"/>
        <w:bottom w:val="none" w:sz="0" w:space="0" w:color="auto"/>
        <w:right w:val="none" w:sz="0" w:space="0" w:color="auto"/>
      </w:divBdr>
    </w:div>
    <w:div w:id="310716012">
      <w:bodyDiv w:val="1"/>
      <w:marLeft w:val="0"/>
      <w:marRight w:val="0"/>
      <w:marTop w:val="0"/>
      <w:marBottom w:val="0"/>
      <w:divBdr>
        <w:top w:val="none" w:sz="0" w:space="0" w:color="auto"/>
        <w:left w:val="none" w:sz="0" w:space="0" w:color="auto"/>
        <w:bottom w:val="none" w:sz="0" w:space="0" w:color="auto"/>
        <w:right w:val="none" w:sz="0" w:space="0" w:color="auto"/>
      </w:divBdr>
    </w:div>
    <w:div w:id="363599275">
      <w:bodyDiv w:val="1"/>
      <w:marLeft w:val="0"/>
      <w:marRight w:val="0"/>
      <w:marTop w:val="0"/>
      <w:marBottom w:val="0"/>
      <w:divBdr>
        <w:top w:val="none" w:sz="0" w:space="0" w:color="auto"/>
        <w:left w:val="none" w:sz="0" w:space="0" w:color="auto"/>
        <w:bottom w:val="none" w:sz="0" w:space="0" w:color="auto"/>
        <w:right w:val="none" w:sz="0" w:space="0" w:color="auto"/>
      </w:divBdr>
    </w:div>
    <w:div w:id="367148162">
      <w:bodyDiv w:val="1"/>
      <w:marLeft w:val="0"/>
      <w:marRight w:val="0"/>
      <w:marTop w:val="0"/>
      <w:marBottom w:val="0"/>
      <w:divBdr>
        <w:top w:val="none" w:sz="0" w:space="0" w:color="auto"/>
        <w:left w:val="none" w:sz="0" w:space="0" w:color="auto"/>
        <w:bottom w:val="none" w:sz="0" w:space="0" w:color="auto"/>
        <w:right w:val="none" w:sz="0" w:space="0" w:color="auto"/>
      </w:divBdr>
    </w:div>
    <w:div w:id="383261469">
      <w:bodyDiv w:val="1"/>
      <w:marLeft w:val="0"/>
      <w:marRight w:val="0"/>
      <w:marTop w:val="0"/>
      <w:marBottom w:val="0"/>
      <w:divBdr>
        <w:top w:val="none" w:sz="0" w:space="0" w:color="auto"/>
        <w:left w:val="none" w:sz="0" w:space="0" w:color="auto"/>
        <w:bottom w:val="none" w:sz="0" w:space="0" w:color="auto"/>
        <w:right w:val="none" w:sz="0" w:space="0" w:color="auto"/>
      </w:divBdr>
    </w:div>
    <w:div w:id="388960143">
      <w:bodyDiv w:val="1"/>
      <w:marLeft w:val="0"/>
      <w:marRight w:val="0"/>
      <w:marTop w:val="0"/>
      <w:marBottom w:val="0"/>
      <w:divBdr>
        <w:top w:val="none" w:sz="0" w:space="0" w:color="auto"/>
        <w:left w:val="none" w:sz="0" w:space="0" w:color="auto"/>
        <w:bottom w:val="none" w:sz="0" w:space="0" w:color="auto"/>
        <w:right w:val="none" w:sz="0" w:space="0" w:color="auto"/>
      </w:divBdr>
    </w:div>
    <w:div w:id="389227787">
      <w:bodyDiv w:val="1"/>
      <w:marLeft w:val="0"/>
      <w:marRight w:val="0"/>
      <w:marTop w:val="0"/>
      <w:marBottom w:val="0"/>
      <w:divBdr>
        <w:top w:val="none" w:sz="0" w:space="0" w:color="auto"/>
        <w:left w:val="none" w:sz="0" w:space="0" w:color="auto"/>
        <w:bottom w:val="none" w:sz="0" w:space="0" w:color="auto"/>
        <w:right w:val="none" w:sz="0" w:space="0" w:color="auto"/>
      </w:divBdr>
    </w:div>
    <w:div w:id="432936890">
      <w:bodyDiv w:val="1"/>
      <w:marLeft w:val="0"/>
      <w:marRight w:val="0"/>
      <w:marTop w:val="0"/>
      <w:marBottom w:val="0"/>
      <w:divBdr>
        <w:top w:val="none" w:sz="0" w:space="0" w:color="auto"/>
        <w:left w:val="none" w:sz="0" w:space="0" w:color="auto"/>
        <w:bottom w:val="none" w:sz="0" w:space="0" w:color="auto"/>
        <w:right w:val="none" w:sz="0" w:space="0" w:color="auto"/>
      </w:divBdr>
    </w:div>
    <w:div w:id="454373048">
      <w:bodyDiv w:val="1"/>
      <w:marLeft w:val="0"/>
      <w:marRight w:val="0"/>
      <w:marTop w:val="0"/>
      <w:marBottom w:val="0"/>
      <w:divBdr>
        <w:top w:val="none" w:sz="0" w:space="0" w:color="auto"/>
        <w:left w:val="none" w:sz="0" w:space="0" w:color="auto"/>
        <w:bottom w:val="none" w:sz="0" w:space="0" w:color="auto"/>
        <w:right w:val="none" w:sz="0" w:space="0" w:color="auto"/>
      </w:divBdr>
    </w:div>
    <w:div w:id="499850177">
      <w:bodyDiv w:val="1"/>
      <w:marLeft w:val="0"/>
      <w:marRight w:val="0"/>
      <w:marTop w:val="0"/>
      <w:marBottom w:val="0"/>
      <w:divBdr>
        <w:top w:val="none" w:sz="0" w:space="0" w:color="auto"/>
        <w:left w:val="none" w:sz="0" w:space="0" w:color="auto"/>
        <w:bottom w:val="none" w:sz="0" w:space="0" w:color="auto"/>
        <w:right w:val="none" w:sz="0" w:space="0" w:color="auto"/>
      </w:divBdr>
    </w:div>
    <w:div w:id="512233310">
      <w:bodyDiv w:val="1"/>
      <w:marLeft w:val="0"/>
      <w:marRight w:val="0"/>
      <w:marTop w:val="0"/>
      <w:marBottom w:val="0"/>
      <w:divBdr>
        <w:top w:val="none" w:sz="0" w:space="0" w:color="auto"/>
        <w:left w:val="none" w:sz="0" w:space="0" w:color="auto"/>
        <w:bottom w:val="none" w:sz="0" w:space="0" w:color="auto"/>
        <w:right w:val="none" w:sz="0" w:space="0" w:color="auto"/>
      </w:divBdr>
    </w:div>
    <w:div w:id="524369278">
      <w:bodyDiv w:val="1"/>
      <w:marLeft w:val="0"/>
      <w:marRight w:val="0"/>
      <w:marTop w:val="0"/>
      <w:marBottom w:val="0"/>
      <w:divBdr>
        <w:top w:val="none" w:sz="0" w:space="0" w:color="auto"/>
        <w:left w:val="none" w:sz="0" w:space="0" w:color="auto"/>
        <w:bottom w:val="none" w:sz="0" w:space="0" w:color="auto"/>
        <w:right w:val="none" w:sz="0" w:space="0" w:color="auto"/>
      </w:divBdr>
    </w:div>
    <w:div w:id="657617301">
      <w:bodyDiv w:val="1"/>
      <w:marLeft w:val="0"/>
      <w:marRight w:val="0"/>
      <w:marTop w:val="0"/>
      <w:marBottom w:val="0"/>
      <w:divBdr>
        <w:top w:val="none" w:sz="0" w:space="0" w:color="auto"/>
        <w:left w:val="none" w:sz="0" w:space="0" w:color="auto"/>
        <w:bottom w:val="none" w:sz="0" w:space="0" w:color="auto"/>
        <w:right w:val="none" w:sz="0" w:space="0" w:color="auto"/>
      </w:divBdr>
    </w:div>
    <w:div w:id="677148847">
      <w:bodyDiv w:val="1"/>
      <w:marLeft w:val="0"/>
      <w:marRight w:val="0"/>
      <w:marTop w:val="0"/>
      <w:marBottom w:val="0"/>
      <w:divBdr>
        <w:top w:val="none" w:sz="0" w:space="0" w:color="auto"/>
        <w:left w:val="none" w:sz="0" w:space="0" w:color="auto"/>
        <w:bottom w:val="none" w:sz="0" w:space="0" w:color="auto"/>
        <w:right w:val="none" w:sz="0" w:space="0" w:color="auto"/>
      </w:divBdr>
    </w:div>
    <w:div w:id="684209160">
      <w:bodyDiv w:val="1"/>
      <w:marLeft w:val="0"/>
      <w:marRight w:val="0"/>
      <w:marTop w:val="0"/>
      <w:marBottom w:val="0"/>
      <w:divBdr>
        <w:top w:val="none" w:sz="0" w:space="0" w:color="auto"/>
        <w:left w:val="none" w:sz="0" w:space="0" w:color="auto"/>
        <w:bottom w:val="none" w:sz="0" w:space="0" w:color="auto"/>
        <w:right w:val="none" w:sz="0" w:space="0" w:color="auto"/>
      </w:divBdr>
    </w:div>
    <w:div w:id="768818916">
      <w:bodyDiv w:val="1"/>
      <w:marLeft w:val="0"/>
      <w:marRight w:val="0"/>
      <w:marTop w:val="0"/>
      <w:marBottom w:val="0"/>
      <w:divBdr>
        <w:top w:val="none" w:sz="0" w:space="0" w:color="auto"/>
        <w:left w:val="none" w:sz="0" w:space="0" w:color="auto"/>
        <w:bottom w:val="none" w:sz="0" w:space="0" w:color="auto"/>
        <w:right w:val="none" w:sz="0" w:space="0" w:color="auto"/>
      </w:divBdr>
    </w:div>
    <w:div w:id="772019416">
      <w:bodyDiv w:val="1"/>
      <w:marLeft w:val="0"/>
      <w:marRight w:val="0"/>
      <w:marTop w:val="0"/>
      <w:marBottom w:val="0"/>
      <w:divBdr>
        <w:top w:val="none" w:sz="0" w:space="0" w:color="auto"/>
        <w:left w:val="none" w:sz="0" w:space="0" w:color="auto"/>
        <w:bottom w:val="none" w:sz="0" w:space="0" w:color="auto"/>
        <w:right w:val="none" w:sz="0" w:space="0" w:color="auto"/>
      </w:divBdr>
    </w:div>
    <w:div w:id="834995447">
      <w:bodyDiv w:val="1"/>
      <w:marLeft w:val="0"/>
      <w:marRight w:val="0"/>
      <w:marTop w:val="0"/>
      <w:marBottom w:val="0"/>
      <w:divBdr>
        <w:top w:val="none" w:sz="0" w:space="0" w:color="auto"/>
        <w:left w:val="none" w:sz="0" w:space="0" w:color="auto"/>
        <w:bottom w:val="none" w:sz="0" w:space="0" w:color="auto"/>
        <w:right w:val="none" w:sz="0" w:space="0" w:color="auto"/>
      </w:divBdr>
    </w:div>
    <w:div w:id="924344649">
      <w:bodyDiv w:val="1"/>
      <w:marLeft w:val="0"/>
      <w:marRight w:val="0"/>
      <w:marTop w:val="0"/>
      <w:marBottom w:val="0"/>
      <w:divBdr>
        <w:top w:val="none" w:sz="0" w:space="0" w:color="auto"/>
        <w:left w:val="none" w:sz="0" w:space="0" w:color="auto"/>
        <w:bottom w:val="none" w:sz="0" w:space="0" w:color="auto"/>
        <w:right w:val="none" w:sz="0" w:space="0" w:color="auto"/>
      </w:divBdr>
    </w:div>
    <w:div w:id="960041231">
      <w:bodyDiv w:val="1"/>
      <w:marLeft w:val="0"/>
      <w:marRight w:val="0"/>
      <w:marTop w:val="0"/>
      <w:marBottom w:val="0"/>
      <w:divBdr>
        <w:top w:val="none" w:sz="0" w:space="0" w:color="auto"/>
        <w:left w:val="none" w:sz="0" w:space="0" w:color="auto"/>
        <w:bottom w:val="none" w:sz="0" w:space="0" w:color="auto"/>
        <w:right w:val="none" w:sz="0" w:space="0" w:color="auto"/>
      </w:divBdr>
    </w:div>
    <w:div w:id="1004632533">
      <w:bodyDiv w:val="1"/>
      <w:marLeft w:val="0"/>
      <w:marRight w:val="0"/>
      <w:marTop w:val="0"/>
      <w:marBottom w:val="0"/>
      <w:divBdr>
        <w:top w:val="none" w:sz="0" w:space="0" w:color="auto"/>
        <w:left w:val="none" w:sz="0" w:space="0" w:color="auto"/>
        <w:bottom w:val="none" w:sz="0" w:space="0" w:color="auto"/>
        <w:right w:val="none" w:sz="0" w:space="0" w:color="auto"/>
      </w:divBdr>
    </w:div>
    <w:div w:id="1044402382">
      <w:bodyDiv w:val="1"/>
      <w:marLeft w:val="0"/>
      <w:marRight w:val="0"/>
      <w:marTop w:val="0"/>
      <w:marBottom w:val="0"/>
      <w:divBdr>
        <w:top w:val="none" w:sz="0" w:space="0" w:color="auto"/>
        <w:left w:val="none" w:sz="0" w:space="0" w:color="auto"/>
        <w:bottom w:val="none" w:sz="0" w:space="0" w:color="auto"/>
        <w:right w:val="none" w:sz="0" w:space="0" w:color="auto"/>
      </w:divBdr>
    </w:div>
    <w:div w:id="1092778043">
      <w:bodyDiv w:val="1"/>
      <w:marLeft w:val="0"/>
      <w:marRight w:val="0"/>
      <w:marTop w:val="0"/>
      <w:marBottom w:val="0"/>
      <w:divBdr>
        <w:top w:val="none" w:sz="0" w:space="0" w:color="auto"/>
        <w:left w:val="none" w:sz="0" w:space="0" w:color="auto"/>
        <w:bottom w:val="none" w:sz="0" w:space="0" w:color="auto"/>
        <w:right w:val="none" w:sz="0" w:space="0" w:color="auto"/>
      </w:divBdr>
    </w:div>
    <w:div w:id="1127770855">
      <w:bodyDiv w:val="1"/>
      <w:marLeft w:val="0"/>
      <w:marRight w:val="0"/>
      <w:marTop w:val="0"/>
      <w:marBottom w:val="0"/>
      <w:divBdr>
        <w:top w:val="none" w:sz="0" w:space="0" w:color="auto"/>
        <w:left w:val="none" w:sz="0" w:space="0" w:color="auto"/>
        <w:bottom w:val="none" w:sz="0" w:space="0" w:color="auto"/>
        <w:right w:val="none" w:sz="0" w:space="0" w:color="auto"/>
      </w:divBdr>
    </w:div>
    <w:div w:id="1172454102">
      <w:bodyDiv w:val="1"/>
      <w:marLeft w:val="0"/>
      <w:marRight w:val="0"/>
      <w:marTop w:val="0"/>
      <w:marBottom w:val="0"/>
      <w:divBdr>
        <w:top w:val="none" w:sz="0" w:space="0" w:color="auto"/>
        <w:left w:val="none" w:sz="0" w:space="0" w:color="auto"/>
        <w:bottom w:val="none" w:sz="0" w:space="0" w:color="auto"/>
        <w:right w:val="none" w:sz="0" w:space="0" w:color="auto"/>
      </w:divBdr>
    </w:div>
    <w:div w:id="1179808725">
      <w:bodyDiv w:val="1"/>
      <w:marLeft w:val="0"/>
      <w:marRight w:val="0"/>
      <w:marTop w:val="0"/>
      <w:marBottom w:val="0"/>
      <w:divBdr>
        <w:top w:val="none" w:sz="0" w:space="0" w:color="auto"/>
        <w:left w:val="none" w:sz="0" w:space="0" w:color="auto"/>
        <w:bottom w:val="none" w:sz="0" w:space="0" w:color="auto"/>
        <w:right w:val="none" w:sz="0" w:space="0" w:color="auto"/>
      </w:divBdr>
    </w:div>
    <w:div w:id="1255630785">
      <w:bodyDiv w:val="1"/>
      <w:marLeft w:val="0"/>
      <w:marRight w:val="0"/>
      <w:marTop w:val="0"/>
      <w:marBottom w:val="0"/>
      <w:divBdr>
        <w:top w:val="none" w:sz="0" w:space="0" w:color="auto"/>
        <w:left w:val="none" w:sz="0" w:space="0" w:color="auto"/>
        <w:bottom w:val="none" w:sz="0" w:space="0" w:color="auto"/>
        <w:right w:val="none" w:sz="0" w:space="0" w:color="auto"/>
      </w:divBdr>
    </w:div>
    <w:div w:id="1277784900">
      <w:bodyDiv w:val="1"/>
      <w:marLeft w:val="0"/>
      <w:marRight w:val="0"/>
      <w:marTop w:val="0"/>
      <w:marBottom w:val="0"/>
      <w:divBdr>
        <w:top w:val="none" w:sz="0" w:space="0" w:color="auto"/>
        <w:left w:val="none" w:sz="0" w:space="0" w:color="auto"/>
        <w:bottom w:val="none" w:sz="0" w:space="0" w:color="auto"/>
        <w:right w:val="none" w:sz="0" w:space="0" w:color="auto"/>
      </w:divBdr>
    </w:div>
    <w:div w:id="1288318276">
      <w:bodyDiv w:val="1"/>
      <w:marLeft w:val="0"/>
      <w:marRight w:val="0"/>
      <w:marTop w:val="0"/>
      <w:marBottom w:val="0"/>
      <w:divBdr>
        <w:top w:val="none" w:sz="0" w:space="0" w:color="auto"/>
        <w:left w:val="none" w:sz="0" w:space="0" w:color="auto"/>
        <w:bottom w:val="none" w:sz="0" w:space="0" w:color="auto"/>
        <w:right w:val="none" w:sz="0" w:space="0" w:color="auto"/>
      </w:divBdr>
    </w:div>
    <w:div w:id="1376344959">
      <w:bodyDiv w:val="1"/>
      <w:marLeft w:val="0"/>
      <w:marRight w:val="0"/>
      <w:marTop w:val="0"/>
      <w:marBottom w:val="0"/>
      <w:divBdr>
        <w:top w:val="none" w:sz="0" w:space="0" w:color="auto"/>
        <w:left w:val="none" w:sz="0" w:space="0" w:color="auto"/>
        <w:bottom w:val="none" w:sz="0" w:space="0" w:color="auto"/>
        <w:right w:val="none" w:sz="0" w:space="0" w:color="auto"/>
      </w:divBdr>
    </w:div>
    <w:div w:id="1435248436">
      <w:bodyDiv w:val="1"/>
      <w:marLeft w:val="0"/>
      <w:marRight w:val="0"/>
      <w:marTop w:val="0"/>
      <w:marBottom w:val="0"/>
      <w:divBdr>
        <w:top w:val="none" w:sz="0" w:space="0" w:color="auto"/>
        <w:left w:val="none" w:sz="0" w:space="0" w:color="auto"/>
        <w:bottom w:val="none" w:sz="0" w:space="0" w:color="auto"/>
        <w:right w:val="none" w:sz="0" w:space="0" w:color="auto"/>
      </w:divBdr>
    </w:div>
    <w:div w:id="1457259677">
      <w:bodyDiv w:val="1"/>
      <w:marLeft w:val="0"/>
      <w:marRight w:val="0"/>
      <w:marTop w:val="0"/>
      <w:marBottom w:val="0"/>
      <w:divBdr>
        <w:top w:val="none" w:sz="0" w:space="0" w:color="auto"/>
        <w:left w:val="none" w:sz="0" w:space="0" w:color="auto"/>
        <w:bottom w:val="none" w:sz="0" w:space="0" w:color="auto"/>
        <w:right w:val="none" w:sz="0" w:space="0" w:color="auto"/>
      </w:divBdr>
    </w:div>
    <w:div w:id="1465780695">
      <w:bodyDiv w:val="1"/>
      <w:marLeft w:val="0"/>
      <w:marRight w:val="0"/>
      <w:marTop w:val="0"/>
      <w:marBottom w:val="0"/>
      <w:divBdr>
        <w:top w:val="none" w:sz="0" w:space="0" w:color="auto"/>
        <w:left w:val="none" w:sz="0" w:space="0" w:color="auto"/>
        <w:bottom w:val="none" w:sz="0" w:space="0" w:color="auto"/>
        <w:right w:val="none" w:sz="0" w:space="0" w:color="auto"/>
      </w:divBdr>
    </w:div>
    <w:div w:id="1471629009">
      <w:bodyDiv w:val="1"/>
      <w:marLeft w:val="0"/>
      <w:marRight w:val="0"/>
      <w:marTop w:val="0"/>
      <w:marBottom w:val="0"/>
      <w:divBdr>
        <w:top w:val="none" w:sz="0" w:space="0" w:color="auto"/>
        <w:left w:val="none" w:sz="0" w:space="0" w:color="auto"/>
        <w:bottom w:val="none" w:sz="0" w:space="0" w:color="auto"/>
        <w:right w:val="none" w:sz="0" w:space="0" w:color="auto"/>
      </w:divBdr>
    </w:div>
    <w:div w:id="1553075235">
      <w:bodyDiv w:val="1"/>
      <w:marLeft w:val="0"/>
      <w:marRight w:val="0"/>
      <w:marTop w:val="0"/>
      <w:marBottom w:val="0"/>
      <w:divBdr>
        <w:top w:val="none" w:sz="0" w:space="0" w:color="auto"/>
        <w:left w:val="none" w:sz="0" w:space="0" w:color="auto"/>
        <w:bottom w:val="none" w:sz="0" w:space="0" w:color="auto"/>
        <w:right w:val="none" w:sz="0" w:space="0" w:color="auto"/>
      </w:divBdr>
    </w:div>
    <w:div w:id="1599871755">
      <w:bodyDiv w:val="1"/>
      <w:marLeft w:val="0"/>
      <w:marRight w:val="0"/>
      <w:marTop w:val="0"/>
      <w:marBottom w:val="0"/>
      <w:divBdr>
        <w:top w:val="none" w:sz="0" w:space="0" w:color="auto"/>
        <w:left w:val="none" w:sz="0" w:space="0" w:color="auto"/>
        <w:bottom w:val="none" w:sz="0" w:space="0" w:color="auto"/>
        <w:right w:val="none" w:sz="0" w:space="0" w:color="auto"/>
      </w:divBdr>
    </w:div>
    <w:div w:id="1728602071">
      <w:bodyDiv w:val="1"/>
      <w:marLeft w:val="0"/>
      <w:marRight w:val="0"/>
      <w:marTop w:val="0"/>
      <w:marBottom w:val="0"/>
      <w:divBdr>
        <w:top w:val="none" w:sz="0" w:space="0" w:color="auto"/>
        <w:left w:val="none" w:sz="0" w:space="0" w:color="auto"/>
        <w:bottom w:val="none" w:sz="0" w:space="0" w:color="auto"/>
        <w:right w:val="none" w:sz="0" w:space="0" w:color="auto"/>
      </w:divBdr>
    </w:div>
    <w:div w:id="1753896610">
      <w:bodyDiv w:val="1"/>
      <w:marLeft w:val="0"/>
      <w:marRight w:val="0"/>
      <w:marTop w:val="0"/>
      <w:marBottom w:val="0"/>
      <w:divBdr>
        <w:top w:val="none" w:sz="0" w:space="0" w:color="auto"/>
        <w:left w:val="none" w:sz="0" w:space="0" w:color="auto"/>
        <w:bottom w:val="none" w:sz="0" w:space="0" w:color="auto"/>
        <w:right w:val="none" w:sz="0" w:space="0" w:color="auto"/>
      </w:divBdr>
    </w:div>
    <w:div w:id="1755663555">
      <w:bodyDiv w:val="1"/>
      <w:marLeft w:val="0"/>
      <w:marRight w:val="0"/>
      <w:marTop w:val="0"/>
      <w:marBottom w:val="0"/>
      <w:divBdr>
        <w:top w:val="none" w:sz="0" w:space="0" w:color="auto"/>
        <w:left w:val="none" w:sz="0" w:space="0" w:color="auto"/>
        <w:bottom w:val="none" w:sz="0" w:space="0" w:color="auto"/>
        <w:right w:val="none" w:sz="0" w:space="0" w:color="auto"/>
      </w:divBdr>
    </w:div>
    <w:div w:id="1772696553">
      <w:bodyDiv w:val="1"/>
      <w:marLeft w:val="0"/>
      <w:marRight w:val="0"/>
      <w:marTop w:val="0"/>
      <w:marBottom w:val="0"/>
      <w:divBdr>
        <w:top w:val="none" w:sz="0" w:space="0" w:color="auto"/>
        <w:left w:val="none" w:sz="0" w:space="0" w:color="auto"/>
        <w:bottom w:val="none" w:sz="0" w:space="0" w:color="auto"/>
        <w:right w:val="none" w:sz="0" w:space="0" w:color="auto"/>
      </w:divBdr>
    </w:div>
    <w:div w:id="1797023894">
      <w:bodyDiv w:val="1"/>
      <w:marLeft w:val="0"/>
      <w:marRight w:val="0"/>
      <w:marTop w:val="0"/>
      <w:marBottom w:val="0"/>
      <w:divBdr>
        <w:top w:val="none" w:sz="0" w:space="0" w:color="auto"/>
        <w:left w:val="none" w:sz="0" w:space="0" w:color="auto"/>
        <w:bottom w:val="none" w:sz="0" w:space="0" w:color="auto"/>
        <w:right w:val="none" w:sz="0" w:space="0" w:color="auto"/>
      </w:divBdr>
    </w:div>
    <w:div w:id="1837452061">
      <w:bodyDiv w:val="1"/>
      <w:marLeft w:val="0"/>
      <w:marRight w:val="0"/>
      <w:marTop w:val="0"/>
      <w:marBottom w:val="0"/>
      <w:divBdr>
        <w:top w:val="none" w:sz="0" w:space="0" w:color="auto"/>
        <w:left w:val="none" w:sz="0" w:space="0" w:color="auto"/>
        <w:bottom w:val="none" w:sz="0" w:space="0" w:color="auto"/>
        <w:right w:val="none" w:sz="0" w:space="0" w:color="auto"/>
      </w:divBdr>
    </w:div>
    <w:div w:id="1945991820">
      <w:bodyDiv w:val="1"/>
      <w:marLeft w:val="0"/>
      <w:marRight w:val="0"/>
      <w:marTop w:val="0"/>
      <w:marBottom w:val="0"/>
      <w:divBdr>
        <w:top w:val="none" w:sz="0" w:space="0" w:color="auto"/>
        <w:left w:val="none" w:sz="0" w:space="0" w:color="auto"/>
        <w:bottom w:val="none" w:sz="0" w:space="0" w:color="auto"/>
        <w:right w:val="none" w:sz="0" w:space="0" w:color="auto"/>
      </w:divBdr>
    </w:div>
    <w:div w:id="1957445911">
      <w:bodyDiv w:val="1"/>
      <w:marLeft w:val="0"/>
      <w:marRight w:val="0"/>
      <w:marTop w:val="0"/>
      <w:marBottom w:val="0"/>
      <w:divBdr>
        <w:top w:val="none" w:sz="0" w:space="0" w:color="auto"/>
        <w:left w:val="none" w:sz="0" w:space="0" w:color="auto"/>
        <w:bottom w:val="none" w:sz="0" w:space="0" w:color="auto"/>
        <w:right w:val="none" w:sz="0" w:space="0" w:color="auto"/>
      </w:divBdr>
    </w:div>
    <w:div w:id="1979987633">
      <w:bodyDiv w:val="1"/>
      <w:marLeft w:val="0"/>
      <w:marRight w:val="0"/>
      <w:marTop w:val="0"/>
      <w:marBottom w:val="0"/>
      <w:divBdr>
        <w:top w:val="none" w:sz="0" w:space="0" w:color="auto"/>
        <w:left w:val="none" w:sz="0" w:space="0" w:color="auto"/>
        <w:bottom w:val="none" w:sz="0" w:space="0" w:color="auto"/>
        <w:right w:val="none" w:sz="0" w:space="0" w:color="auto"/>
      </w:divBdr>
    </w:div>
    <w:div w:id="2090495294">
      <w:bodyDiv w:val="1"/>
      <w:marLeft w:val="0"/>
      <w:marRight w:val="0"/>
      <w:marTop w:val="0"/>
      <w:marBottom w:val="0"/>
      <w:divBdr>
        <w:top w:val="none" w:sz="0" w:space="0" w:color="auto"/>
        <w:left w:val="none" w:sz="0" w:space="0" w:color="auto"/>
        <w:bottom w:val="none" w:sz="0" w:space="0" w:color="auto"/>
        <w:right w:val="none" w:sz="0" w:space="0" w:color="auto"/>
      </w:divBdr>
    </w:div>
    <w:div w:id="2108236006">
      <w:bodyDiv w:val="1"/>
      <w:marLeft w:val="0"/>
      <w:marRight w:val="0"/>
      <w:marTop w:val="0"/>
      <w:marBottom w:val="0"/>
      <w:divBdr>
        <w:top w:val="none" w:sz="0" w:space="0" w:color="auto"/>
        <w:left w:val="none" w:sz="0" w:space="0" w:color="auto"/>
        <w:bottom w:val="none" w:sz="0" w:space="0" w:color="auto"/>
        <w:right w:val="none" w:sz="0" w:space="0" w:color="auto"/>
      </w:divBdr>
    </w:div>
    <w:div w:id="21366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2225-F599-4E52-80C4-2927CEB7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2492</Words>
  <Characters>12868</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CONSILIUL DE ADMINISTRAŢIE</vt:lpstr>
      <vt:lpstr>CONSILIUL DE ADMINISTRAŢIE</vt:lpstr>
    </vt:vector>
  </TitlesOfParts>
  <Company>National Bank of Moldova</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DE ADMINISTRAŢIE</dc:title>
  <dc:creator>dii</dc:creator>
  <cp:lastModifiedBy>Olga V.Cibotari</cp:lastModifiedBy>
  <cp:revision>2</cp:revision>
  <cp:lastPrinted>2016-10-21T05:53:00Z</cp:lastPrinted>
  <dcterms:created xsi:type="dcterms:W3CDTF">2024-10-28T15:59:00Z</dcterms:created>
  <dcterms:modified xsi:type="dcterms:W3CDTF">2024-10-28T15:59:00Z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9678bd61-0abe-4159-a15f-d01f0c2d081e</vt:lpwstr>
  </property>
  <property fmtid="{D5CDD505-2E9C-101B-9397-08002B2CF9AE}" pid="3" name="Clasificare">
    <vt:lpwstr>NONE</vt:lpwstr>
  </property>
</Properties>
</file>